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2B1C9" w14:textId="12FE38AB" w:rsidR="00FE7BA2" w:rsidRPr="00A9253C" w:rsidRDefault="00F936B6" w:rsidP="00F936B6">
      <w:pPr>
        <w:spacing w:after="120" w:line="240" w:lineRule="auto"/>
        <w:rPr>
          <w:rFonts w:ascii="Titillium Web" w:hAnsi="Titillium Web"/>
          <w:b/>
          <w:bCs/>
        </w:rPr>
      </w:pPr>
      <w:r>
        <w:rPr>
          <w:rFonts w:ascii="Titillium Web" w:hAnsi="Titillium Web"/>
          <w:b/>
          <w:bCs/>
        </w:rPr>
        <w:t xml:space="preserve">TÁJÉKOZTATÓ </w:t>
      </w:r>
      <w:r w:rsidRPr="00A9253C">
        <w:rPr>
          <w:rFonts w:ascii="Titillium Web" w:hAnsi="Titillium Web"/>
          <w:b/>
          <w:bCs/>
        </w:rPr>
        <w:t>TELEKADÓ ADATBEJELENTÉS</w:t>
      </w:r>
      <w:r w:rsidR="00E50D46">
        <w:rPr>
          <w:rFonts w:ascii="Titillium Web" w:hAnsi="Titillium Web"/>
          <w:b/>
          <w:bCs/>
        </w:rPr>
        <w:t>É</w:t>
      </w:r>
      <w:r>
        <w:rPr>
          <w:rFonts w:ascii="Titillium Web" w:hAnsi="Titillium Web"/>
          <w:b/>
          <w:bCs/>
        </w:rPr>
        <w:t>RŐL</w:t>
      </w:r>
    </w:p>
    <w:p w14:paraId="7BFC5325" w14:textId="58A5CBFF" w:rsidR="00FE7BA2" w:rsidRPr="00A9253C" w:rsidRDefault="00F936B6" w:rsidP="00F936B6">
      <w:pPr>
        <w:pStyle w:val="NormlWeb"/>
        <w:numPr>
          <w:ilvl w:val="0"/>
          <w:numId w:val="2"/>
        </w:numPr>
        <w:shd w:val="clear" w:color="auto" w:fill="FFFFFF"/>
        <w:tabs>
          <w:tab w:val="left" w:pos="284"/>
        </w:tabs>
        <w:spacing w:before="0" w:beforeAutospacing="0" w:after="120" w:afterAutospacing="0"/>
        <w:ind w:left="0" w:firstLine="0"/>
        <w:rPr>
          <w:rStyle w:val="Kiemels2"/>
          <w:rFonts w:ascii="Titillium Web" w:eastAsiaTheme="minorHAnsi" w:hAnsi="Titillium Web" w:cs="Arial"/>
          <w:bdr w:val="none" w:sz="0" w:space="0" w:color="auto" w:frame="1"/>
          <w:lang w:eastAsia="en-US"/>
        </w:rPr>
      </w:pPr>
      <w:r>
        <w:rPr>
          <w:rStyle w:val="Kiemels2"/>
          <w:rFonts w:ascii="Titillium Web" w:eastAsiaTheme="minorHAnsi" w:hAnsi="Titillium Web" w:cs="Arial"/>
          <w:bdr w:val="none" w:sz="0" w:space="0" w:color="auto" w:frame="1"/>
          <w:lang w:eastAsia="en-US"/>
        </w:rPr>
        <w:t>Általános információk</w:t>
      </w:r>
    </w:p>
    <w:p w14:paraId="1BF22F8E" w14:textId="11421C71" w:rsidR="00FE7BA2" w:rsidRPr="00A9253C" w:rsidRDefault="00255013" w:rsidP="001034C5">
      <w:pPr>
        <w:pStyle w:val="NormlWeb"/>
        <w:shd w:val="clear" w:color="auto" w:fill="FFFFFF"/>
        <w:spacing w:before="0" w:beforeAutospacing="0" w:after="120" w:afterAutospacing="0"/>
        <w:ind w:left="284"/>
        <w:jc w:val="both"/>
        <w:rPr>
          <w:rFonts w:ascii="Titillium Web" w:eastAsiaTheme="minorHAnsi" w:hAnsi="Titillium Web" w:cs="Arial"/>
          <w:bdr w:val="none" w:sz="0" w:space="0" w:color="auto" w:frame="1"/>
          <w:lang w:eastAsia="en-US"/>
        </w:rPr>
      </w:pPr>
      <w:r>
        <w:rPr>
          <w:rFonts w:ascii="Titillium Web" w:eastAsiaTheme="minorHAnsi" w:hAnsi="Titillium Web" w:cs="Arial"/>
          <w:bdr w:val="none" w:sz="0" w:space="0" w:color="auto" w:frame="1"/>
          <w:lang w:eastAsia="en-US"/>
        </w:rPr>
        <w:t xml:space="preserve">Adóköteles a </w:t>
      </w:r>
      <w:r w:rsidR="00FE7BA2" w:rsidRPr="00A9253C">
        <w:rPr>
          <w:rFonts w:ascii="Titillium Web" w:eastAsiaTheme="minorHAnsi" w:hAnsi="Titillium Web" w:cs="Arial"/>
          <w:bdr w:val="none" w:sz="0" w:space="0" w:color="auto" w:frame="1"/>
          <w:lang w:eastAsia="en-US"/>
        </w:rPr>
        <w:t xml:space="preserve">Budapest Főváros IX. kerület Ferencváros Önkormányzatának illetékességi területén lévő </w:t>
      </w:r>
      <w:r w:rsidR="00AA27C2" w:rsidRPr="00A9253C">
        <w:rPr>
          <w:rFonts w:ascii="Titillium Web" w:eastAsiaTheme="minorHAnsi" w:hAnsi="Titillium Web" w:cs="Arial"/>
          <w:b/>
          <w:bCs/>
          <w:bdr w:val="none" w:sz="0" w:space="0" w:color="auto" w:frame="1"/>
          <w:lang w:eastAsia="en-US"/>
        </w:rPr>
        <w:t>telek</w:t>
      </w:r>
      <w:r w:rsidR="00AA27C2" w:rsidRPr="00A9253C">
        <w:rPr>
          <w:rFonts w:ascii="Titillium Web" w:eastAsiaTheme="minorHAnsi" w:hAnsi="Titillium Web" w:cs="Arial"/>
          <w:bdr w:val="none" w:sz="0" w:space="0" w:color="auto" w:frame="1"/>
          <w:lang w:eastAsia="en-US"/>
        </w:rPr>
        <w:t xml:space="preserve">, azaz az épülettel, épületrésszel </w:t>
      </w:r>
      <w:r w:rsidR="00AA27C2" w:rsidRPr="00A9253C">
        <w:rPr>
          <w:rFonts w:ascii="Titillium Web" w:eastAsiaTheme="minorHAnsi" w:hAnsi="Titillium Web" w:cs="Arial"/>
          <w:b/>
          <w:bCs/>
          <w:bdr w:val="none" w:sz="0" w:space="0" w:color="auto" w:frame="1"/>
          <w:lang w:eastAsia="en-US"/>
        </w:rPr>
        <w:t>be nem épített</w:t>
      </w:r>
      <w:r w:rsidR="00AA27C2" w:rsidRPr="00A9253C">
        <w:rPr>
          <w:rFonts w:ascii="Titillium Web" w:eastAsiaTheme="minorHAnsi" w:hAnsi="Titillium Web" w:cs="Arial"/>
          <w:bdr w:val="none" w:sz="0" w:space="0" w:color="auto" w:frame="1"/>
          <w:lang w:eastAsia="en-US"/>
        </w:rPr>
        <w:t xml:space="preserve"> </w:t>
      </w:r>
      <w:r w:rsidR="00AA27C2" w:rsidRPr="00A9253C">
        <w:rPr>
          <w:rFonts w:ascii="Titillium Web" w:eastAsiaTheme="minorHAnsi" w:hAnsi="Titillium Web" w:cs="Arial"/>
          <w:b/>
          <w:bCs/>
          <w:bdr w:val="none" w:sz="0" w:space="0" w:color="auto" w:frame="1"/>
          <w:lang w:eastAsia="en-US"/>
        </w:rPr>
        <w:t>földterület</w:t>
      </w:r>
      <w:r w:rsidR="00FB1F4B" w:rsidRPr="00A9253C">
        <w:rPr>
          <w:rFonts w:ascii="Titillium Web" w:eastAsiaTheme="minorHAnsi" w:hAnsi="Titillium Web" w:cs="Arial"/>
          <w:bdr w:val="none" w:sz="0" w:space="0" w:color="auto" w:frame="1"/>
          <w:lang w:eastAsia="en-US"/>
        </w:rPr>
        <w:t>.</w:t>
      </w:r>
      <w:r w:rsidR="00FE7BA2" w:rsidRPr="00A9253C">
        <w:rPr>
          <w:rFonts w:ascii="Titillium Web" w:eastAsiaTheme="minorHAnsi" w:hAnsi="Titillium Web" w:cs="Arial"/>
          <w:bdr w:val="none" w:sz="0" w:space="0" w:color="auto" w:frame="1"/>
          <w:lang w:eastAsia="en-US"/>
        </w:rPr>
        <w:t xml:space="preserve"> </w:t>
      </w:r>
    </w:p>
    <w:p w14:paraId="63D85559" w14:textId="21E8EC78" w:rsidR="00FB1F4B" w:rsidRPr="00A9253C" w:rsidRDefault="00FB1F4B" w:rsidP="00FB1F4B">
      <w:pPr>
        <w:pStyle w:val="NormlWeb"/>
        <w:numPr>
          <w:ilvl w:val="0"/>
          <w:numId w:val="2"/>
        </w:numPr>
        <w:shd w:val="clear" w:color="auto" w:fill="FFFFFF"/>
        <w:tabs>
          <w:tab w:val="left" w:pos="284"/>
        </w:tabs>
        <w:spacing w:before="0" w:beforeAutospacing="0" w:after="240" w:afterAutospacing="0"/>
        <w:ind w:left="0" w:firstLine="0"/>
        <w:rPr>
          <w:rStyle w:val="Kiemels2"/>
          <w:rFonts w:ascii="Titillium Web" w:eastAsiaTheme="minorHAnsi" w:hAnsi="Titillium Web" w:cs="Arial"/>
          <w:bdr w:val="none" w:sz="0" w:space="0" w:color="auto" w:frame="1"/>
          <w:lang w:eastAsia="en-US"/>
        </w:rPr>
      </w:pPr>
      <w:r w:rsidRPr="00A9253C">
        <w:rPr>
          <w:rStyle w:val="Kiemels2"/>
          <w:rFonts w:ascii="Titillium Web" w:eastAsiaTheme="minorHAnsi" w:hAnsi="Titillium Web" w:cs="Arial"/>
          <w:bdr w:val="none" w:sz="0" w:space="0" w:color="auto" w:frame="1"/>
          <w:lang w:eastAsia="en-US"/>
        </w:rPr>
        <w:t xml:space="preserve">Kinek van adatbejelentési kötelezettsége? </w:t>
      </w:r>
    </w:p>
    <w:p w14:paraId="0F1F484F" w14:textId="05C991F1" w:rsidR="004D3CED" w:rsidRPr="00A9253C" w:rsidRDefault="00FB1F4B" w:rsidP="004D3CED">
      <w:pPr>
        <w:pStyle w:val="NormlWeb"/>
        <w:numPr>
          <w:ilvl w:val="1"/>
          <w:numId w:val="2"/>
        </w:numPr>
        <w:shd w:val="clear" w:color="auto" w:fill="FFFFFF"/>
        <w:spacing w:before="0" w:beforeAutospacing="0" w:after="120" w:afterAutospacing="0"/>
        <w:jc w:val="both"/>
        <w:rPr>
          <w:rFonts w:ascii="Titillium Web" w:eastAsiaTheme="minorHAnsi" w:hAnsi="Titillium Web" w:cs="Arial"/>
          <w:bdr w:val="none" w:sz="0" w:space="0" w:color="auto" w:frame="1"/>
          <w:lang w:eastAsia="en-US"/>
        </w:rPr>
      </w:pPr>
      <w:r w:rsidRPr="00A9253C">
        <w:rPr>
          <w:rFonts w:ascii="Titillium Web" w:eastAsiaTheme="minorHAnsi" w:hAnsi="Titillium Web" w:cs="Arial"/>
          <w:bdr w:val="none" w:sz="0" w:space="0" w:color="auto" w:frame="1"/>
          <w:lang w:eastAsia="en-US"/>
        </w:rPr>
        <w:t xml:space="preserve">Az adót annak kell bevallania és megfizetnie, aki a naptári év első napján </w:t>
      </w:r>
      <w:r w:rsidR="00AA27C2" w:rsidRPr="00A9253C">
        <w:rPr>
          <w:rFonts w:ascii="Titillium Web" w:eastAsiaTheme="minorHAnsi" w:hAnsi="Titillium Web" w:cs="Arial"/>
          <w:bdr w:val="none" w:sz="0" w:space="0" w:color="auto" w:frame="1"/>
          <w:lang w:eastAsia="en-US"/>
        </w:rPr>
        <w:t>a telek</w:t>
      </w:r>
      <w:r w:rsidRPr="00A9253C">
        <w:rPr>
          <w:rFonts w:ascii="Titillium Web" w:eastAsiaTheme="minorHAnsi" w:hAnsi="Titillium Web" w:cs="Arial"/>
          <w:bdr w:val="none" w:sz="0" w:space="0" w:color="auto" w:frame="1"/>
          <w:lang w:eastAsia="en-US"/>
        </w:rPr>
        <w:t xml:space="preserve"> − közhiteles ingatlan-nyilvántartásba bejegyzett − tulajdonosa. Ha </w:t>
      </w:r>
      <w:r w:rsidR="00AA27C2" w:rsidRPr="00A9253C">
        <w:rPr>
          <w:rFonts w:ascii="Titillium Web" w:eastAsiaTheme="minorHAnsi" w:hAnsi="Titillium Web" w:cs="Arial"/>
          <w:bdr w:val="none" w:sz="0" w:space="0" w:color="auto" w:frame="1"/>
          <w:lang w:eastAsia="en-US"/>
        </w:rPr>
        <w:t>a telket</w:t>
      </w:r>
      <w:r w:rsidRPr="00A9253C">
        <w:rPr>
          <w:rFonts w:ascii="Titillium Web" w:eastAsiaTheme="minorHAnsi" w:hAnsi="Titillium Web" w:cs="Arial"/>
          <w:bdr w:val="none" w:sz="0" w:space="0" w:color="auto" w:frame="1"/>
          <w:lang w:eastAsia="en-US"/>
        </w:rPr>
        <w:t xml:space="preserve"> az ingatlan-nyilvántartásba bejegyzett vagyoni értékű jog (pl. haszonélvezet, használat joga, kezelői jog stb.) terheli, akkor a vagyoni értékű jog jogosultjának kell a</w:t>
      </w:r>
      <w:r w:rsidR="00AA27C2" w:rsidRPr="00A9253C">
        <w:rPr>
          <w:rFonts w:ascii="Titillium Web" w:eastAsiaTheme="minorHAnsi" w:hAnsi="Titillium Web" w:cs="Arial"/>
          <w:bdr w:val="none" w:sz="0" w:space="0" w:color="auto" w:frame="1"/>
          <w:lang w:eastAsia="en-US"/>
        </w:rPr>
        <w:t xml:space="preserve"> telek</w:t>
      </w:r>
      <w:r w:rsidRPr="00A9253C">
        <w:rPr>
          <w:rFonts w:ascii="Titillium Web" w:eastAsiaTheme="minorHAnsi" w:hAnsi="Titillium Web" w:cs="Arial"/>
          <w:bdr w:val="none" w:sz="0" w:space="0" w:color="auto" w:frame="1"/>
          <w:lang w:eastAsia="en-US"/>
        </w:rPr>
        <w:t>adót bevallani és megfizetni.</w:t>
      </w:r>
    </w:p>
    <w:p w14:paraId="7D4F2D31" w14:textId="7A822B3E" w:rsidR="00FB1F4B" w:rsidRPr="00A9253C" w:rsidRDefault="00FB1F4B" w:rsidP="008A5CB5">
      <w:pPr>
        <w:pStyle w:val="NormlWeb"/>
        <w:numPr>
          <w:ilvl w:val="1"/>
          <w:numId w:val="2"/>
        </w:numPr>
        <w:shd w:val="clear" w:color="auto" w:fill="FFFFFF"/>
        <w:spacing w:before="0" w:beforeAutospacing="0" w:after="120" w:afterAutospacing="0"/>
        <w:ind w:left="1077"/>
        <w:jc w:val="both"/>
        <w:rPr>
          <w:rFonts w:ascii="Titillium Web" w:eastAsiaTheme="minorHAnsi" w:hAnsi="Titillium Web" w:cs="Arial"/>
          <w:bdr w:val="none" w:sz="0" w:space="0" w:color="auto" w:frame="1"/>
          <w:lang w:eastAsia="en-US"/>
        </w:rPr>
      </w:pPr>
      <w:r w:rsidRPr="00A9253C">
        <w:rPr>
          <w:rFonts w:ascii="Titillium Web" w:eastAsiaTheme="minorHAnsi" w:hAnsi="Titillium Web" w:cs="Arial"/>
          <w:bdr w:val="none" w:sz="0" w:space="0" w:color="auto" w:frame="1"/>
          <w:lang w:eastAsia="en-US"/>
        </w:rPr>
        <w:t xml:space="preserve">Ha </w:t>
      </w:r>
      <w:r w:rsidR="00AA27C2" w:rsidRPr="00A9253C">
        <w:rPr>
          <w:rFonts w:ascii="Titillium Web" w:eastAsiaTheme="minorHAnsi" w:hAnsi="Titillium Web" w:cs="Arial"/>
          <w:bdr w:val="none" w:sz="0" w:space="0" w:color="auto" w:frame="1"/>
          <w:lang w:eastAsia="en-US"/>
        </w:rPr>
        <w:t>a teleknek</w:t>
      </w:r>
      <w:r w:rsidRPr="00A9253C">
        <w:rPr>
          <w:rFonts w:ascii="Titillium Web" w:eastAsiaTheme="minorHAnsi" w:hAnsi="Titillium Web" w:cs="Arial"/>
          <w:bdr w:val="none" w:sz="0" w:space="0" w:color="auto" w:frame="1"/>
          <w:lang w:eastAsia="en-US"/>
        </w:rPr>
        <w:t xml:space="preserve"> több tulajdonosa van, akkor a tulajdonosok tulajdoni hányadaik arányában adóalanyok. Valamennyi tulajdonos által írásban megkötött és az adóhatósághoz benyújtott megállapodásban a tulajdonosok az adóalanyisággal kapcsolatos jogokkal és kötelezettségekkel egy tulajdonost is felruházhatnak.</w:t>
      </w:r>
    </w:p>
    <w:p w14:paraId="71B0BED9" w14:textId="77777777" w:rsidR="00F936B6" w:rsidRDefault="00F936B6" w:rsidP="00F936B6">
      <w:pPr>
        <w:pStyle w:val="NormlWeb"/>
        <w:numPr>
          <w:ilvl w:val="0"/>
          <w:numId w:val="2"/>
        </w:numPr>
        <w:shd w:val="clear" w:color="auto" w:fill="FFFFFF"/>
        <w:tabs>
          <w:tab w:val="left" w:pos="284"/>
        </w:tabs>
        <w:spacing w:before="0" w:beforeAutospacing="0" w:after="120" w:afterAutospacing="0"/>
        <w:ind w:left="0" w:firstLine="0"/>
        <w:rPr>
          <w:rStyle w:val="Kiemels2"/>
          <w:rFonts w:ascii="Titillium Web" w:hAnsi="Titillium Web"/>
          <w:lang w:eastAsia="en-US"/>
        </w:rPr>
      </w:pPr>
      <w:r>
        <w:rPr>
          <w:rStyle w:val="Kiemels2"/>
          <w:rFonts w:ascii="Titillium Web" w:hAnsi="Titillium Web"/>
          <w:lang w:eastAsia="en-US"/>
        </w:rPr>
        <w:t>Mikor kell adatbejelentést tenni?</w:t>
      </w:r>
    </w:p>
    <w:p w14:paraId="377B04C6" w14:textId="3A5A1594" w:rsidR="00FB1F4B" w:rsidRPr="00A9253C" w:rsidRDefault="00FB1F4B" w:rsidP="00DE6E79">
      <w:pPr>
        <w:pStyle w:val="NormlWeb"/>
        <w:shd w:val="clear" w:color="auto" w:fill="FFFFFF"/>
        <w:spacing w:before="0" w:beforeAutospacing="0" w:after="120" w:afterAutospacing="0"/>
        <w:ind w:left="284"/>
        <w:jc w:val="both"/>
        <w:rPr>
          <w:rFonts w:ascii="Titillium Web" w:eastAsiaTheme="minorHAnsi" w:hAnsi="Titillium Web" w:cs="Arial"/>
          <w:bdr w:val="none" w:sz="0" w:space="0" w:color="auto" w:frame="1"/>
          <w:lang w:eastAsia="en-US"/>
        </w:rPr>
      </w:pPr>
      <w:r w:rsidRPr="00A9253C">
        <w:rPr>
          <w:rFonts w:ascii="Titillium Web" w:eastAsiaTheme="minorHAnsi" w:hAnsi="Titillium Web" w:cs="Arial"/>
          <w:bdr w:val="none" w:sz="0" w:space="0" w:color="auto" w:frame="1"/>
          <w:lang w:eastAsia="en-US"/>
        </w:rPr>
        <w:t>Az adóalanynak a</w:t>
      </w:r>
      <w:r w:rsidR="008A5CB5" w:rsidRPr="00A9253C">
        <w:rPr>
          <w:rFonts w:ascii="Titillium Web" w:eastAsiaTheme="minorHAnsi" w:hAnsi="Titillium Web" w:cs="Arial"/>
          <w:bdr w:val="none" w:sz="0" w:space="0" w:color="auto" w:frame="1"/>
          <w:lang w:eastAsia="en-US"/>
        </w:rPr>
        <w:t xml:space="preserve"> telek</w:t>
      </w:r>
      <w:r w:rsidRPr="00A9253C">
        <w:rPr>
          <w:rFonts w:ascii="Titillium Web" w:eastAsiaTheme="minorHAnsi" w:hAnsi="Titillium Web" w:cs="Arial"/>
          <w:bdr w:val="none" w:sz="0" w:space="0" w:color="auto" w:frame="1"/>
          <w:lang w:eastAsia="en-US"/>
        </w:rPr>
        <w:t xml:space="preserve">adóról </w:t>
      </w:r>
      <w:r w:rsidRPr="00A9253C">
        <w:rPr>
          <w:rFonts w:ascii="Titillium Web" w:eastAsiaTheme="minorHAnsi" w:hAnsi="Titillium Web" w:cs="Arial"/>
          <w:b/>
          <w:bCs/>
          <w:bdr w:val="none" w:sz="0" w:space="0" w:color="auto" w:frame="1"/>
          <w:lang w:eastAsia="en-US"/>
        </w:rPr>
        <w:t>az adókötelezettség keletkezését, illetve változását követő 15 napon belül</w:t>
      </w:r>
      <w:r w:rsidRPr="00A9253C">
        <w:rPr>
          <w:rFonts w:ascii="Titillium Web" w:eastAsiaTheme="minorHAnsi" w:hAnsi="Titillium Web" w:cs="Arial"/>
          <w:bdr w:val="none" w:sz="0" w:space="0" w:color="auto" w:frame="1"/>
          <w:lang w:eastAsia="en-US"/>
        </w:rPr>
        <w:t xml:space="preserve"> kell adatbejelentését teljesítenie.</w:t>
      </w:r>
    </w:p>
    <w:p w14:paraId="3A1F3AF5" w14:textId="644DC332" w:rsidR="00F936B6" w:rsidRPr="00A9253C" w:rsidRDefault="00F936B6" w:rsidP="00F936B6">
      <w:pPr>
        <w:pStyle w:val="NormlWeb"/>
        <w:numPr>
          <w:ilvl w:val="0"/>
          <w:numId w:val="2"/>
        </w:numPr>
        <w:shd w:val="clear" w:color="auto" w:fill="FFFFFF"/>
        <w:tabs>
          <w:tab w:val="left" w:pos="284"/>
        </w:tabs>
        <w:spacing w:before="0" w:beforeAutospacing="0" w:after="120" w:afterAutospacing="0"/>
        <w:ind w:left="0" w:firstLine="0"/>
        <w:rPr>
          <w:rFonts w:ascii="Titillium Web" w:hAnsi="Titillium Web"/>
          <w:b/>
          <w:bCs/>
          <w:lang w:eastAsia="en-US"/>
        </w:rPr>
      </w:pPr>
      <w:r w:rsidRPr="00A9253C">
        <w:rPr>
          <w:rStyle w:val="Kiemels2"/>
          <w:rFonts w:ascii="Titillium Web" w:hAnsi="Titillium Web"/>
          <w:lang w:eastAsia="en-US"/>
        </w:rPr>
        <w:t>Adókötelezettség keletkez</w:t>
      </w:r>
      <w:r w:rsidR="00DE6E79">
        <w:rPr>
          <w:rStyle w:val="Kiemels2"/>
          <w:rFonts w:ascii="Titillium Web" w:hAnsi="Titillium Web"/>
          <w:lang w:eastAsia="en-US"/>
        </w:rPr>
        <w:t>ése</w:t>
      </w:r>
    </w:p>
    <w:p w14:paraId="652A1413" w14:textId="6C322631" w:rsidR="008A5CB5" w:rsidRPr="00A9253C" w:rsidRDefault="008A5CB5" w:rsidP="00F936B6">
      <w:pPr>
        <w:pStyle w:val="NormlWeb"/>
        <w:numPr>
          <w:ilvl w:val="1"/>
          <w:numId w:val="2"/>
        </w:numPr>
        <w:shd w:val="clear" w:color="auto" w:fill="FFFFFF"/>
        <w:spacing w:before="0" w:beforeAutospacing="0" w:after="120" w:afterAutospacing="0"/>
        <w:ind w:left="993" w:hanging="567"/>
        <w:jc w:val="both"/>
        <w:rPr>
          <w:rFonts w:ascii="Titillium Web" w:eastAsiaTheme="minorHAnsi" w:hAnsi="Titillium Web" w:cs="Arial"/>
          <w:bdr w:val="none" w:sz="0" w:space="0" w:color="auto" w:frame="1"/>
          <w:lang w:eastAsia="en-US"/>
        </w:rPr>
      </w:pPr>
      <w:r w:rsidRPr="00A9253C">
        <w:rPr>
          <w:rFonts w:ascii="Titillium Web" w:eastAsiaTheme="minorHAnsi" w:hAnsi="Titillium Web" w:cs="Arial"/>
          <w:bdr w:val="none" w:sz="0" w:space="0" w:color="auto" w:frame="1"/>
          <w:lang w:eastAsia="en-US"/>
        </w:rPr>
        <w:t>a belterületen fekvő, termőföldnek minősülő telek esetében a földterületnek az ingatlan-nyilvántartásban művelés alól kivett területre történő átvezetését vagy tényleges mezőgazdasági művelésének a megszüntetését követő év első napján,</w:t>
      </w:r>
    </w:p>
    <w:p w14:paraId="7C8B8159" w14:textId="0B7FC341" w:rsidR="008A5CB5" w:rsidRPr="00A9253C" w:rsidRDefault="008A5CB5" w:rsidP="00F936B6">
      <w:pPr>
        <w:pStyle w:val="NormlWeb"/>
        <w:numPr>
          <w:ilvl w:val="1"/>
          <w:numId w:val="2"/>
        </w:numPr>
        <w:shd w:val="clear" w:color="auto" w:fill="FFFFFF"/>
        <w:spacing w:before="0" w:beforeAutospacing="0" w:after="120" w:afterAutospacing="0"/>
        <w:ind w:left="993" w:hanging="567"/>
        <w:jc w:val="both"/>
        <w:rPr>
          <w:rFonts w:ascii="Titillium Web" w:eastAsiaTheme="minorHAnsi" w:hAnsi="Titillium Web" w:cs="Arial"/>
          <w:bdr w:val="none" w:sz="0" w:space="0" w:color="auto" w:frame="1"/>
          <w:lang w:eastAsia="en-US"/>
        </w:rPr>
      </w:pPr>
      <w:r w:rsidRPr="00A9253C">
        <w:rPr>
          <w:rFonts w:ascii="Titillium Web" w:eastAsiaTheme="minorHAnsi" w:hAnsi="Titillium Web" w:cs="Arial"/>
          <w:bdr w:val="none" w:sz="0" w:space="0" w:color="auto" w:frame="1"/>
          <w:lang w:eastAsia="en-US"/>
        </w:rPr>
        <w:t>a külterületen fekvő, termőföldnek minősülő telek esetében a földterületnek az ingatlan-nyilvántartásban művelés alól kivett területre történő átvezetését követő év első napján,</w:t>
      </w:r>
    </w:p>
    <w:p w14:paraId="0C1B0EED" w14:textId="64350D02" w:rsidR="008A5CB5" w:rsidRPr="00A9253C" w:rsidRDefault="008A5CB5" w:rsidP="00F936B6">
      <w:pPr>
        <w:pStyle w:val="NormlWeb"/>
        <w:numPr>
          <w:ilvl w:val="1"/>
          <w:numId w:val="2"/>
        </w:numPr>
        <w:shd w:val="clear" w:color="auto" w:fill="FFFFFF"/>
        <w:spacing w:before="0" w:beforeAutospacing="0" w:after="120" w:afterAutospacing="0"/>
        <w:ind w:left="993" w:hanging="567"/>
        <w:jc w:val="both"/>
        <w:rPr>
          <w:rFonts w:ascii="Titillium Web" w:eastAsiaTheme="minorHAnsi" w:hAnsi="Titillium Web" w:cs="Arial"/>
          <w:bdr w:val="none" w:sz="0" w:space="0" w:color="auto" w:frame="1"/>
          <w:lang w:eastAsia="en-US"/>
        </w:rPr>
      </w:pPr>
      <w:r w:rsidRPr="00A9253C">
        <w:rPr>
          <w:rFonts w:ascii="Titillium Web" w:eastAsiaTheme="minorHAnsi" w:hAnsi="Titillium Web" w:cs="Arial"/>
          <w:bdr w:val="none" w:sz="0" w:space="0" w:color="auto" w:frame="1"/>
          <w:lang w:eastAsia="en-US"/>
        </w:rPr>
        <w:t>erdőnek minősülő telek esetében</w:t>
      </w:r>
    </w:p>
    <w:p w14:paraId="7157069B" w14:textId="48E99583" w:rsidR="008A5CB5" w:rsidRPr="00A9253C" w:rsidRDefault="005152E4" w:rsidP="00255013">
      <w:pPr>
        <w:pStyle w:val="NormlWeb"/>
        <w:numPr>
          <w:ilvl w:val="2"/>
          <w:numId w:val="2"/>
        </w:numPr>
        <w:shd w:val="clear" w:color="auto" w:fill="FFFFFF"/>
        <w:tabs>
          <w:tab w:val="left" w:pos="1560"/>
        </w:tabs>
        <w:spacing w:before="0" w:beforeAutospacing="0" w:after="120" w:afterAutospacing="0"/>
        <w:ind w:hanging="229"/>
        <w:jc w:val="both"/>
        <w:rPr>
          <w:rFonts w:ascii="Titillium Web" w:eastAsiaTheme="minorHAnsi" w:hAnsi="Titillium Web" w:cs="Arial"/>
          <w:bdr w:val="none" w:sz="0" w:space="0" w:color="auto" w:frame="1"/>
          <w:lang w:eastAsia="en-US"/>
        </w:rPr>
      </w:pPr>
      <w:r w:rsidRPr="00A9253C">
        <w:rPr>
          <w:rFonts w:ascii="Titillium Web" w:eastAsiaTheme="minorHAnsi" w:hAnsi="Titillium Web" w:cs="Arial"/>
          <w:bdr w:val="none" w:sz="0" w:space="0" w:color="auto" w:frame="1"/>
          <w:lang w:eastAsia="en-US"/>
        </w:rPr>
        <w:t>a földterületnek az ingatlan-nyilvántartásban művelés alól kivett területre történő átvezetését követő év első napján, feltéve, ha az Országos Erdőállomány Adattárban erdőként nem tartják nyilván vagy</w:t>
      </w:r>
    </w:p>
    <w:p w14:paraId="3F6057B0" w14:textId="6B9D3958" w:rsidR="005152E4" w:rsidRPr="00A9253C" w:rsidRDefault="005152E4" w:rsidP="00255013">
      <w:pPr>
        <w:pStyle w:val="NormlWeb"/>
        <w:numPr>
          <w:ilvl w:val="2"/>
          <w:numId w:val="2"/>
        </w:numPr>
        <w:shd w:val="clear" w:color="auto" w:fill="FFFFFF"/>
        <w:tabs>
          <w:tab w:val="left" w:pos="1560"/>
        </w:tabs>
        <w:spacing w:before="0" w:beforeAutospacing="0" w:after="120" w:afterAutospacing="0"/>
        <w:ind w:hanging="229"/>
        <w:jc w:val="both"/>
        <w:rPr>
          <w:rFonts w:ascii="Titillium Web" w:eastAsiaTheme="minorHAnsi" w:hAnsi="Titillium Web" w:cs="Arial"/>
          <w:bdr w:val="none" w:sz="0" w:space="0" w:color="auto" w:frame="1"/>
          <w:lang w:eastAsia="en-US"/>
        </w:rPr>
      </w:pPr>
      <w:r w:rsidRPr="00A9253C">
        <w:rPr>
          <w:rFonts w:ascii="Titillium Web" w:eastAsiaTheme="minorHAnsi" w:hAnsi="Titillium Web" w:cs="Arial"/>
          <w:bdr w:val="none" w:sz="0" w:space="0" w:color="auto" w:frame="1"/>
          <w:lang w:eastAsia="en-US"/>
        </w:rPr>
        <w:t>az ingatlan-nyilvántartásban művelés alól kivett területként nyilvántartott földterületnek az Országos Erdőállomány Adattárból történő törlését követő év első napján</w:t>
      </w:r>
    </w:p>
    <w:p w14:paraId="5075EF16" w14:textId="5D6F0F0C" w:rsidR="008A5CB5" w:rsidRPr="00A9253C" w:rsidRDefault="005152E4" w:rsidP="00255013">
      <w:pPr>
        <w:pStyle w:val="NormlWeb"/>
        <w:numPr>
          <w:ilvl w:val="2"/>
          <w:numId w:val="2"/>
        </w:numPr>
        <w:shd w:val="clear" w:color="auto" w:fill="FFFFFF"/>
        <w:tabs>
          <w:tab w:val="left" w:pos="1560"/>
        </w:tabs>
        <w:spacing w:before="0" w:beforeAutospacing="0" w:after="120" w:afterAutospacing="0"/>
        <w:ind w:hanging="229"/>
        <w:jc w:val="both"/>
        <w:rPr>
          <w:rFonts w:ascii="Titillium Web" w:eastAsiaTheme="minorHAnsi" w:hAnsi="Titillium Web" w:cs="Arial"/>
          <w:bdr w:val="none" w:sz="0" w:space="0" w:color="auto" w:frame="1"/>
          <w:lang w:eastAsia="en-US"/>
        </w:rPr>
      </w:pPr>
      <w:r w:rsidRPr="00A9253C">
        <w:rPr>
          <w:rFonts w:ascii="Titillium Web" w:eastAsiaTheme="minorHAnsi" w:hAnsi="Titillium Web" w:cs="Arial"/>
          <w:bdr w:val="none" w:sz="0" w:space="0" w:color="auto" w:frame="1"/>
          <w:lang w:eastAsia="en-US"/>
        </w:rPr>
        <w:t>a tanyaként nyilvántartott földterület esetében a tanyaként történő ingatlan-nyilvántartási bejegyzés törlését követő év első napján,</w:t>
      </w:r>
    </w:p>
    <w:p w14:paraId="1090F083" w14:textId="6FA9FFFD" w:rsidR="008A5CB5" w:rsidRPr="00A9253C" w:rsidRDefault="005152E4" w:rsidP="00F936B6">
      <w:pPr>
        <w:pStyle w:val="NormlWeb"/>
        <w:numPr>
          <w:ilvl w:val="1"/>
          <w:numId w:val="2"/>
        </w:numPr>
        <w:shd w:val="clear" w:color="auto" w:fill="FFFFFF"/>
        <w:spacing w:before="0" w:beforeAutospacing="0" w:after="120" w:afterAutospacing="0"/>
        <w:ind w:left="993" w:hanging="567"/>
        <w:jc w:val="both"/>
        <w:rPr>
          <w:rFonts w:ascii="Titillium Web" w:eastAsiaTheme="minorHAnsi" w:hAnsi="Titillium Web" w:cs="Arial"/>
          <w:bdr w:val="none" w:sz="0" w:space="0" w:color="auto" w:frame="1"/>
          <w:lang w:eastAsia="en-US"/>
        </w:rPr>
      </w:pPr>
      <w:r w:rsidRPr="00A9253C">
        <w:rPr>
          <w:rFonts w:ascii="Titillium Web" w:eastAsiaTheme="minorHAnsi" w:hAnsi="Titillium Web" w:cs="Arial"/>
          <w:bdr w:val="none" w:sz="0" w:space="0" w:color="auto" w:frame="1"/>
          <w:lang w:eastAsia="en-US"/>
        </w:rPr>
        <w:lastRenderedPageBreak/>
        <w:t>az építmény megsemmisülése, lebontása esetén a megsemmisülést, lebontást követő félév első napján</w:t>
      </w:r>
      <w:r w:rsidR="00F936B6">
        <w:rPr>
          <w:rFonts w:ascii="Titillium Web" w:eastAsiaTheme="minorHAnsi" w:hAnsi="Titillium Web" w:cs="Arial"/>
          <w:bdr w:val="none" w:sz="0" w:space="0" w:color="auto" w:frame="1"/>
          <w:lang w:eastAsia="en-US"/>
        </w:rPr>
        <w:t>,</w:t>
      </w:r>
    </w:p>
    <w:p w14:paraId="2B89AE56" w14:textId="2BCFE3C0" w:rsidR="008A5CB5" w:rsidRPr="00A9253C" w:rsidRDefault="005152E4" w:rsidP="00F936B6">
      <w:pPr>
        <w:pStyle w:val="NormlWeb"/>
        <w:numPr>
          <w:ilvl w:val="1"/>
          <w:numId w:val="2"/>
        </w:numPr>
        <w:shd w:val="clear" w:color="auto" w:fill="FFFFFF"/>
        <w:spacing w:before="0" w:beforeAutospacing="0" w:after="120" w:afterAutospacing="0"/>
        <w:ind w:left="993" w:hanging="567"/>
        <w:jc w:val="both"/>
        <w:rPr>
          <w:rFonts w:ascii="Titillium Web" w:eastAsiaTheme="minorHAnsi" w:hAnsi="Titillium Web" w:cs="Arial"/>
          <w:bdr w:val="none" w:sz="0" w:space="0" w:color="auto" w:frame="1"/>
          <w:lang w:eastAsia="en-US"/>
        </w:rPr>
      </w:pPr>
      <w:r w:rsidRPr="00A9253C">
        <w:rPr>
          <w:rFonts w:ascii="Titillium Web" w:eastAsiaTheme="minorHAnsi" w:hAnsi="Titillium Web" w:cs="Arial"/>
          <w:bdr w:val="none" w:sz="0" w:space="0" w:color="auto" w:frame="1"/>
          <w:lang w:eastAsia="en-US"/>
        </w:rPr>
        <w:t>az ingatlan-nyilvántartásban művelés alól kivett területként nyilvántartott belterületi telek esetében a telek művelési ágának ingatlan-nyilvántartási átvezetése és tényleges mezőgazdasági művelése megkezdése évének utolsó napján,</w:t>
      </w:r>
    </w:p>
    <w:p w14:paraId="6F6DE519" w14:textId="6AF92B03" w:rsidR="008A5CB5" w:rsidRPr="00A9253C" w:rsidRDefault="005152E4" w:rsidP="00F936B6">
      <w:pPr>
        <w:pStyle w:val="NormlWeb"/>
        <w:numPr>
          <w:ilvl w:val="1"/>
          <w:numId w:val="2"/>
        </w:numPr>
        <w:shd w:val="clear" w:color="auto" w:fill="FFFFFF"/>
        <w:spacing w:before="0" w:beforeAutospacing="0" w:after="120" w:afterAutospacing="0"/>
        <w:ind w:left="993" w:hanging="567"/>
        <w:jc w:val="both"/>
        <w:rPr>
          <w:rFonts w:ascii="Titillium Web" w:eastAsiaTheme="minorHAnsi" w:hAnsi="Titillium Web" w:cs="Arial"/>
          <w:bdr w:val="none" w:sz="0" w:space="0" w:color="auto" w:frame="1"/>
          <w:lang w:eastAsia="en-US"/>
        </w:rPr>
      </w:pPr>
      <w:r w:rsidRPr="00A9253C">
        <w:rPr>
          <w:rFonts w:ascii="Titillium Web" w:eastAsiaTheme="minorHAnsi" w:hAnsi="Titillium Web" w:cs="Arial"/>
          <w:bdr w:val="none" w:sz="0" w:space="0" w:color="auto" w:frame="1"/>
          <w:lang w:eastAsia="en-US"/>
        </w:rPr>
        <w:t>az előbbi pontban foglaltaktól eltérően</w:t>
      </w:r>
      <w:r w:rsidR="00F936B6">
        <w:rPr>
          <w:rFonts w:ascii="Titillium Web" w:eastAsiaTheme="minorHAnsi" w:hAnsi="Titillium Web" w:cs="Arial"/>
          <w:bdr w:val="none" w:sz="0" w:space="0" w:color="auto" w:frame="1"/>
          <w:lang w:eastAsia="en-US"/>
        </w:rPr>
        <w:t>:</w:t>
      </w:r>
    </w:p>
    <w:p w14:paraId="10FC5904" w14:textId="3B4396D0" w:rsidR="005152E4" w:rsidRPr="00A9253C" w:rsidRDefault="005152E4" w:rsidP="00255013">
      <w:pPr>
        <w:pStyle w:val="NormlWeb"/>
        <w:numPr>
          <w:ilvl w:val="2"/>
          <w:numId w:val="2"/>
        </w:numPr>
        <w:shd w:val="clear" w:color="auto" w:fill="FFFFFF"/>
        <w:spacing w:before="0" w:beforeAutospacing="0" w:after="120" w:afterAutospacing="0"/>
        <w:ind w:hanging="371"/>
        <w:jc w:val="both"/>
        <w:rPr>
          <w:rFonts w:ascii="Titillium Web" w:eastAsiaTheme="minorHAnsi" w:hAnsi="Titillium Web" w:cs="Arial"/>
          <w:bdr w:val="none" w:sz="0" w:space="0" w:color="auto" w:frame="1"/>
          <w:lang w:eastAsia="en-US"/>
        </w:rPr>
      </w:pPr>
      <w:r w:rsidRPr="00A9253C">
        <w:rPr>
          <w:rFonts w:ascii="Titillium Web" w:eastAsiaTheme="minorHAnsi" w:hAnsi="Titillium Web" w:cs="Arial"/>
          <w:bdr w:val="none" w:sz="0" w:space="0" w:color="auto" w:frame="1"/>
          <w:lang w:eastAsia="en-US"/>
        </w:rPr>
        <w:t>tényleges mezőgazdasági művelés alatt álló belterületi telek esetében a telek művelési ágának ingatlan-nyilvántartási átvezetése évének</w:t>
      </w:r>
      <w:r w:rsidR="00F936B6">
        <w:rPr>
          <w:rFonts w:ascii="Titillium Web" w:eastAsiaTheme="minorHAnsi" w:hAnsi="Titillium Web" w:cs="Arial"/>
          <w:bdr w:val="none" w:sz="0" w:space="0" w:color="auto" w:frame="1"/>
          <w:lang w:eastAsia="en-US"/>
        </w:rPr>
        <w:t xml:space="preserve"> utolsó napján</w:t>
      </w:r>
      <w:r w:rsidRPr="00A9253C">
        <w:rPr>
          <w:rFonts w:ascii="Titillium Web" w:eastAsiaTheme="minorHAnsi" w:hAnsi="Titillium Web" w:cs="Arial"/>
          <w:bdr w:val="none" w:sz="0" w:space="0" w:color="auto" w:frame="1"/>
          <w:lang w:eastAsia="en-US"/>
        </w:rPr>
        <w:t>,</w:t>
      </w:r>
    </w:p>
    <w:p w14:paraId="7DEDDC43" w14:textId="7741088F" w:rsidR="005152E4" w:rsidRPr="00A9253C" w:rsidRDefault="005152E4" w:rsidP="00255013">
      <w:pPr>
        <w:pStyle w:val="NormlWeb"/>
        <w:numPr>
          <w:ilvl w:val="2"/>
          <w:numId w:val="2"/>
        </w:numPr>
        <w:shd w:val="clear" w:color="auto" w:fill="FFFFFF"/>
        <w:spacing w:before="0" w:beforeAutospacing="0" w:after="120" w:afterAutospacing="0"/>
        <w:ind w:hanging="371"/>
        <w:jc w:val="both"/>
        <w:rPr>
          <w:rFonts w:ascii="Titillium Web" w:eastAsiaTheme="minorHAnsi" w:hAnsi="Titillium Web" w:cs="Arial"/>
          <w:bdr w:val="none" w:sz="0" w:space="0" w:color="auto" w:frame="1"/>
          <w:lang w:eastAsia="en-US"/>
        </w:rPr>
      </w:pPr>
      <w:r w:rsidRPr="00A9253C">
        <w:rPr>
          <w:rFonts w:ascii="Titillium Web" w:eastAsiaTheme="minorHAnsi" w:hAnsi="Titillium Web" w:cs="Arial"/>
          <w:bdr w:val="none" w:sz="0" w:space="0" w:color="auto" w:frame="1"/>
          <w:lang w:eastAsia="en-US"/>
        </w:rPr>
        <w:t>belterületen fekvő termőföld esetében annak tényleges mezőgazdasági művelése megkezdése évének utolsó napján,</w:t>
      </w:r>
    </w:p>
    <w:p w14:paraId="5F83A8A2" w14:textId="4639AA78" w:rsidR="008A5CB5" w:rsidRPr="00A9253C" w:rsidRDefault="005152E4" w:rsidP="00255013">
      <w:pPr>
        <w:pStyle w:val="NormlWeb"/>
        <w:numPr>
          <w:ilvl w:val="2"/>
          <w:numId w:val="2"/>
        </w:numPr>
        <w:shd w:val="clear" w:color="auto" w:fill="FFFFFF"/>
        <w:spacing w:before="0" w:beforeAutospacing="0" w:after="120" w:afterAutospacing="0"/>
        <w:ind w:hanging="371"/>
        <w:jc w:val="both"/>
        <w:rPr>
          <w:rFonts w:ascii="Titillium Web" w:eastAsiaTheme="minorHAnsi" w:hAnsi="Titillium Web" w:cs="Arial"/>
          <w:bdr w:val="none" w:sz="0" w:space="0" w:color="auto" w:frame="1"/>
          <w:lang w:eastAsia="en-US"/>
        </w:rPr>
      </w:pPr>
      <w:r w:rsidRPr="00A9253C">
        <w:rPr>
          <w:rFonts w:ascii="Titillium Web" w:eastAsiaTheme="minorHAnsi" w:hAnsi="Titillium Web" w:cs="Arial"/>
          <w:bdr w:val="none" w:sz="0" w:space="0" w:color="auto" w:frame="1"/>
          <w:lang w:eastAsia="en-US"/>
        </w:rPr>
        <w:t>külterületi telek esetében annak termőföldként vagy tanyaként történő ingatlan-nyilvántartási feljegyzése évének utolsó napján,</w:t>
      </w:r>
    </w:p>
    <w:p w14:paraId="6E02BC94" w14:textId="0F39B323" w:rsidR="008A5CB5" w:rsidRPr="00A9253C" w:rsidRDefault="005152E4" w:rsidP="00255013">
      <w:pPr>
        <w:pStyle w:val="NormlWeb"/>
        <w:numPr>
          <w:ilvl w:val="2"/>
          <w:numId w:val="2"/>
        </w:numPr>
        <w:shd w:val="clear" w:color="auto" w:fill="FFFFFF"/>
        <w:spacing w:before="0" w:beforeAutospacing="0" w:after="120" w:afterAutospacing="0"/>
        <w:ind w:hanging="371"/>
        <w:jc w:val="both"/>
        <w:rPr>
          <w:rFonts w:ascii="Titillium Web" w:eastAsiaTheme="minorHAnsi" w:hAnsi="Titillium Web" w:cs="Arial"/>
          <w:bdr w:val="none" w:sz="0" w:space="0" w:color="auto" w:frame="1"/>
          <w:lang w:eastAsia="en-US"/>
        </w:rPr>
      </w:pPr>
      <w:r w:rsidRPr="006340E2">
        <w:rPr>
          <w:rFonts w:ascii="Titillium Web" w:eastAsiaTheme="minorHAnsi" w:hAnsi="Titillium Web" w:cs="Arial"/>
          <w:bdr w:val="none" w:sz="0" w:space="0" w:color="auto" w:frame="1"/>
          <w:lang w:eastAsia="en-US"/>
        </w:rPr>
        <w:t xml:space="preserve">az </w:t>
      </w:r>
      <w:r w:rsidR="006340E2" w:rsidRPr="006340E2">
        <w:rPr>
          <w:rFonts w:ascii="Titillium Web" w:eastAsiaTheme="minorHAnsi" w:hAnsi="Titillium Web" w:cs="Arial"/>
          <w:bdr w:val="none" w:sz="0" w:space="0" w:color="auto" w:frame="1"/>
          <w:lang w:eastAsia="en-US"/>
        </w:rPr>
        <w:t>4.6.1</w:t>
      </w:r>
      <w:r w:rsidRPr="006340E2">
        <w:rPr>
          <w:rFonts w:ascii="Titillium Web" w:eastAsiaTheme="minorHAnsi" w:hAnsi="Titillium Web" w:cs="Arial"/>
          <w:bdr w:val="none" w:sz="0" w:space="0" w:color="auto" w:frame="1"/>
          <w:lang w:eastAsia="en-US"/>
        </w:rPr>
        <w:t xml:space="preserve">. – </w:t>
      </w:r>
      <w:r w:rsidR="006340E2" w:rsidRPr="006340E2">
        <w:rPr>
          <w:rFonts w:ascii="Titillium Web" w:eastAsiaTheme="minorHAnsi" w:hAnsi="Titillium Web" w:cs="Arial"/>
          <w:bdr w:val="none" w:sz="0" w:space="0" w:color="auto" w:frame="1"/>
          <w:lang w:eastAsia="en-US"/>
        </w:rPr>
        <w:t>4.6.3</w:t>
      </w:r>
      <w:r w:rsidRPr="006340E2">
        <w:rPr>
          <w:rFonts w:ascii="Titillium Web" w:eastAsiaTheme="minorHAnsi" w:hAnsi="Titillium Web" w:cs="Arial"/>
          <w:bdr w:val="none" w:sz="0" w:space="0" w:color="auto" w:frame="1"/>
          <w:lang w:eastAsia="en-US"/>
        </w:rPr>
        <w:t>. pontban foglaltaktól</w:t>
      </w:r>
      <w:r w:rsidRPr="00A9253C">
        <w:rPr>
          <w:rFonts w:ascii="Titillium Web" w:eastAsiaTheme="minorHAnsi" w:hAnsi="Titillium Web" w:cs="Arial"/>
          <w:bdr w:val="none" w:sz="0" w:space="0" w:color="auto" w:frame="1"/>
          <w:lang w:eastAsia="en-US"/>
        </w:rPr>
        <w:t xml:space="preserve"> eltérően teleknek minősülő földterület esetében a földterületnek az ingatlan-nyilvántartásban erdő művelési ágra történő átvezetése vagy az Országos Erdőállomány Adattárba történő bejegyzése évének utolsó napján,</w:t>
      </w:r>
    </w:p>
    <w:p w14:paraId="60803C4C" w14:textId="60488BE8" w:rsidR="005152E4" w:rsidRPr="00A9253C" w:rsidRDefault="005152E4" w:rsidP="00255013">
      <w:pPr>
        <w:pStyle w:val="NormlWeb"/>
        <w:numPr>
          <w:ilvl w:val="2"/>
          <w:numId w:val="2"/>
        </w:numPr>
        <w:shd w:val="clear" w:color="auto" w:fill="FFFFFF"/>
        <w:spacing w:before="0" w:beforeAutospacing="0" w:after="120" w:afterAutospacing="0"/>
        <w:ind w:hanging="371"/>
        <w:jc w:val="both"/>
        <w:rPr>
          <w:rFonts w:ascii="Titillium Web" w:eastAsiaTheme="minorHAnsi" w:hAnsi="Titillium Web" w:cs="Arial"/>
          <w:bdr w:val="none" w:sz="0" w:space="0" w:color="auto" w:frame="1"/>
          <w:lang w:eastAsia="en-US"/>
        </w:rPr>
      </w:pPr>
      <w:r w:rsidRPr="00A9253C">
        <w:rPr>
          <w:rFonts w:ascii="Titillium Web" w:eastAsiaTheme="minorHAnsi" w:hAnsi="Titillium Web" w:cs="Arial"/>
          <w:bdr w:val="none" w:sz="0" w:space="0" w:color="auto" w:frame="1"/>
          <w:lang w:eastAsia="en-US"/>
        </w:rPr>
        <w:t>a telek építménnyel való beépítése félévének utolsó napján</w:t>
      </w:r>
      <w:r w:rsidR="00DE6E79">
        <w:rPr>
          <w:rFonts w:ascii="Titillium Web" w:eastAsiaTheme="minorHAnsi" w:hAnsi="Titillium Web" w:cs="Arial"/>
          <w:bdr w:val="none" w:sz="0" w:space="0" w:color="auto" w:frame="1"/>
          <w:lang w:eastAsia="en-US"/>
        </w:rPr>
        <w:t>.</w:t>
      </w:r>
    </w:p>
    <w:p w14:paraId="1FFFB05A" w14:textId="279CE275" w:rsidR="00DE6E79" w:rsidRPr="00DE6E79" w:rsidRDefault="00DE6E79" w:rsidP="00DE6E79">
      <w:pPr>
        <w:pStyle w:val="NormlWeb"/>
        <w:numPr>
          <w:ilvl w:val="0"/>
          <w:numId w:val="2"/>
        </w:numPr>
        <w:shd w:val="clear" w:color="auto" w:fill="FFFFFF"/>
        <w:tabs>
          <w:tab w:val="left" w:pos="284"/>
        </w:tabs>
        <w:spacing w:before="0" w:beforeAutospacing="0" w:after="120" w:afterAutospacing="0"/>
        <w:ind w:left="0" w:firstLine="0"/>
        <w:rPr>
          <w:rStyle w:val="Kiemels2"/>
          <w:rFonts w:ascii="Titillium Web" w:hAnsi="Titillium Web"/>
          <w:lang w:eastAsia="en-US"/>
        </w:rPr>
      </w:pPr>
      <w:r w:rsidRPr="00DE6E79">
        <w:rPr>
          <w:rStyle w:val="Kiemels2"/>
          <w:rFonts w:ascii="Titillium Web" w:hAnsi="Titillium Web"/>
          <w:lang w:eastAsia="en-US"/>
        </w:rPr>
        <w:t>Adókötelezettség változása</w:t>
      </w:r>
    </w:p>
    <w:p w14:paraId="5E1DA23F" w14:textId="2BBC0BEE" w:rsidR="000C0FA4" w:rsidRPr="00A9253C" w:rsidRDefault="005152E4" w:rsidP="00DE6E79">
      <w:pPr>
        <w:pStyle w:val="NormlWeb"/>
        <w:shd w:val="clear" w:color="auto" w:fill="FFFFFF"/>
        <w:spacing w:before="0" w:beforeAutospacing="0" w:after="120" w:afterAutospacing="0"/>
        <w:ind w:left="284"/>
        <w:jc w:val="both"/>
        <w:rPr>
          <w:rFonts w:ascii="Titillium Web" w:eastAsiaTheme="minorHAnsi" w:hAnsi="Titillium Web" w:cs="Arial"/>
          <w:bdr w:val="none" w:sz="0" w:space="0" w:color="auto" w:frame="1"/>
          <w:lang w:eastAsia="en-US"/>
        </w:rPr>
      </w:pPr>
      <w:r w:rsidRPr="00A9253C">
        <w:rPr>
          <w:rFonts w:ascii="Titillium Web" w:eastAsiaTheme="minorHAnsi" w:hAnsi="Titillium Web" w:cs="Arial"/>
          <w:bdr w:val="none" w:sz="0" w:space="0" w:color="auto" w:frame="1"/>
          <w:lang w:eastAsia="en-US"/>
        </w:rPr>
        <w:t>Az adókötelezettségben bekövetkező – az elő</w:t>
      </w:r>
      <w:r w:rsidR="00DE6E79">
        <w:rPr>
          <w:rFonts w:ascii="Titillium Web" w:eastAsiaTheme="minorHAnsi" w:hAnsi="Titillium Web" w:cs="Arial"/>
          <w:bdr w:val="none" w:sz="0" w:space="0" w:color="auto" w:frame="1"/>
          <w:lang w:eastAsia="en-US"/>
        </w:rPr>
        <w:t>ző pontban</w:t>
      </w:r>
      <w:r w:rsidRPr="00A9253C">
        <w:rPr>
          <w:rFonts w:ascii="Titillium Web" w:eastAsiaTheme="minorHAnsi" w:hAnsi="Titillium Web" w:cs="Arial"/>
          <w:bdr w:val="none" w:sz="0" w:space="0" w:color="auto" w:frame="1"/>
          <w:lang w:eastAsia="en-US"/>
        </w:rPr>
        <w:t xml:space="preserve"> nem említett – </w:t>
      </w:r>
      <w:r w:rsidRPr="00DE6E79">
        <w:rPr>
          <w:rFonts w:ascii="Titillium Web" w:eastAsiaTheme="minorHAnsi" w:hAnsi="Titillium Web" w:cs="Arial"/>
          <w:bdr w:val="none" w:sz="0" w:space="0" w:color="auto" w:frame="1"/>
          <w:lang w:eastAsia="en-US"/>
        </w:rPr>
        <w:t>változást</w:t>
      </w:r>
      <w:r w:rsidRPr="00A9253C">
        <w:rPr>
          <w:rFonts w:ascii="Titillium Web" w:eastAsiaTheme="minorHAnsi" w:hAnsi="Titillium Web" w:cs="Arial"/>
          <w:bdr w:val="none" w:sz="0" w:space="0" w:color="auto" w:frame="1"/>
          <w:lang w:eastAsia="en-US"/>
        </w:rPr>
        <w:t xml:space="preserve"> a következő év első napjától kell figyelembe venni.</w:t>
      </w:r>
    </w:p>
    <w:p w14:paraId="5D419030" w14:textId="592DCA00" w:rsidR="00383175" w:rsidRPr="00A9253C" w:rsidRDefault="000C0FA4" w:rsidP="00DE6E79">
      <w:pPr>
        <w:pStyle w:val="NormlWeb"/>
        <w:numPr>
          <w:ilvl w:val="0"/>
          <w:numId w:val="2"/>
        </w:numPr>
        <w:shd w:val="clear" w:color="auto" w:fill="FFFFFF"/>
        <w:tabs>
          <w:tab w:val="left" w:pos="284"/>
        </w:tabs>
        <w:spacing w:before="0" w:beforeAutospacing="0" w:after="120" w:afterAutospacing="0"/>
        <w:ind w:left="0" w:firstLine="0"/>
        <w:rPr>
          <w:rStyle w:val="Kiemels2"/>
          <w:rFonts w:ascii="Titillium Web" w:hAnsi="Titillium Web" w:cs="Arial"/>
          <w:bdr w:val="none" w:sz="0" w:space="0" w:color="auto" w:frame="1"/>
        </w:rPr>
      </w:pPr>
      <w:r w:rsidRPr="00A9253C">
        <w:rPr>
          <w:rStyle w:val="Kiemels2"/>
          <w:rFonts w:ascii="Titillium Web" w:eastAsiaTheme="minorHAnsi" w:hAnsi="Titillium Web" w:cs="Arial"/>
          <w:bdr w:val="none" w:sz="0" w:space="0" w:color="auto" w:frame="1"/>
          <w:lang w:eastAsia="en-US"/>
        </w:rPr>
        <w:t>Adómentesség</w:t>
      </w:r>
    </w:p>
    <w:p w14:paraId="4805A7B1" w14:textId="1E23A114" w:rsidR="000C0FA4" w:rsidRPr="00A9253C" w:rsidRDefault="005152E4" w:rsidP="00DE6E79">
      <w:pPr>
        <w:pStyle w:val="NormlWeb"/>
        <w:shd w:val="clear" w:color="auto" w:fill="FFFFFF"/>
        <w:spacing w:before="0" w:beforeAutospacing="0" w:after="120" w:afterAutospacing="0"/>
        <w:jc w:val="both"/>
        <w:rPr>
          <w:rStyle w:val="Kiemels2"/>
          <w:rFonts w:ascii="Titillium Web" w:hAnsi="Titillium Web" w:cs="Arial"/>
          <w:b w:val="0"/>
          <w:bCs w:val="0"/>
          <w:bdr w:val="none" w:sz="0" w:space="0" w:color="auto" w:frame="1"/>
        </w:rPr>
      </w:pPr>
      <w:r w:rsidRPr="00A9253C">
        <w:rPr>
          <w:rStyle w:val="Kiemels2"/>
          <w:rFonts w:ascii="Titillium Web" w:hAnsi="Titillium Web" w:cs="Arial"/>
          <w:b w:val="0"/>
          <w:bCs w:val="0"/>
          <w:bdr w:val="none" w:sz="0" w:space="0" w:color="auto" w:frame="1"/>
        </w:rPr>
        <w:t xml:space="preserve">A </w:t>
      </w:r>
      <w:r w:rsidR="002B6E12">
        <w:rPr>
          <w:rStyle w:val="Kiemels2"/>
          <w:rFonts w:ascii="Titillium Web" w:hAnsi="Titillium Web" w:cs="Arial"/>
          <w:b w:val="0"/>
          <w:bCs w:val="0"/>
          <w:bdr w:val="none" w:sz="0" w:space="0" w:color="auto" w:frame="1"/>
        </w:rPr>
        <w:t>helyi adókról szóló 1990. évi C. törvény (</w:t>
      </w:r>
      <w:proofErr w:type="spellStart"/>
      <w:r w:rsidRPr="00A9253C">
        <w:rPr>
          <w:rStyle w:val="Kiemels2"/>
          <w:rFonts w:ascii="Titillium Web" w:hAnsi="Titillium Web" w:cs="Arial"/>
          <w:b w:val="0"/>
          <w:bCs w:val="0"/>
          <w:bdr w:val="none" w:sz="0" w:space="0" w:color="auto" w:frame="1"/>
        </w:rPr>
        <w:t>Htv</w:t>
      </w:r>
      <w:proofErr w:type="spellEnd"/>
      <w:r w:rsidRPr="00A9253C">
        <w:rPr>
          <w:rStyle w:val="Kiemels2"/>
          <w:rFonts w:ascii="Titillium Web" w:hAnsi="Titillium Web" w:cs="Arial"/>
          <w:b w:val="0"/>
          <w:bCs w:val="0"/>
          <w:bdr w:val="none" w:sz="0" w:space="0" w:color="auto" w:frame="1"/>
        </w:rPr>
        <w:t>.</w:t>
      </w:r>
      <w:r w:rsidR="002B6E12">
        <w:rPr>
          <w:rStyle w:val="Kiemels2"/>
          <w:rFonts w:ascii="Titillium Web" w:hAnsi="Titillium Web" w:cs="Arial"/>
          <w:b w:val="0"/>
          <w:bCs w:val="0"/>
          <w:bdr w:val="none" w:sz="0" w:space="0" w:color="auto" w:frame="1"/>
        </w:rPr>
        <w:t>) alapján</w:t>
      </w:r>
      <w:r w:rsidRPr="00A9253C">
        <w:rPr>
          <w:rStyle w:val="Kiemels2"/>
          <w:rFonts w:ascii="Titillium Web" w:hAnsi="Titillium Web" w:cs="Arial"/>
          <w:b w:val="0"/>
          <w:bCs w:val="0"/>
          <w:bdr w:val="none" w:sz="0" w:space="0" w:color="auto" w:frame="1"/>
        </w:rPr>
        <w:t xml:space="preserve"> mentes az adó alól</w:t>
      </w:r>
      <w:r w:rsidR="000C0FA4" w:rsidRPr="00A9253C">
        <w:rPr>
          <w:rStyle w:val="Kiemels2"/>
          <w:rFonts w:ascii="Titillium Web" w:hAnsi="Titillium Web" w:cs="Arial"/>
          <w:b w:val="0"/>
          <w:bCs w:val="0"/>
          <w:bdr w:val="none" w:sz="0" w:space="0" w:color="auto" w:frame="1"/>
        </w:rPr>
        <w:t>:</w:t>
      </w:r>
    </w:p>
    <w:p w14:paraId="26CCCE5E" w14:textId="103E4A3F" w:rsidR="00FC2DDF" w:rsidRPr="00A9253C" w:rsidRDefault="005152E4" w:rsidP="00DE6E79">
      <w:pPr>
        <w:pStyle w:val="NormlWeb"/>
        <w:numPr>
          <w:ilvl w:val="1"/>
          <w:numId w:val="13"/>
        </w:numPr>
        <w:shd w:val="clear" w:color="auto" w:fill="FFFFFF"/>
        <w:tabs>
          <w:tab w:val="left" w:pos="426"/>
        </w:tabs>
        <w:spacing w:before="0" w:beforeAutospacing="0" w:after="120" w:afterAutospacing="0"/>
        <w:ind w:left="0" w:firstLine="142"/>
        <w:jc w:val="both"/>
        <w:rPr>
          <w:rStyle w:val="Kiemels2"/>
          <w:rFonts w:ascii="Titillium Web" w:hAnsi="Titillium Web" w:cs="Arial"/>
          <w:b w:val="0"/>
          <w:bCs w:val="0"/>
          <w:bdr w:val="none" w:sz="0" w:space="0" w:color="auto" w:frame="1"/>
        </w:rPr>
      </w:pPr>
      <w:r w:rsidRPr="00A9253C">
        <w:rPr>
          <w:rStyle w:val="Kiemels2"/>
          <w:rFonts w:ascii="Titillium Web" w:hAnsi="Titillium Web" w:cs="Arial"/>
          <w:b w:val="0"/>
          <w:bCs w:val="0"/>
          <w:bdr w:val="none" w:sz="0" w:space="0" w:color="auto" w:frame="1"/>
        </w:rPr>
        <w:t>az épület, épületrész hasznos alapterületével egyező nagyságú telekrész,</w:t>
      </w:r>
    </w:p>
    <w:p w14:paraId="2DC03E34" w14:textId="25C1DB7C" w:rsidR="005152E4" w:rsidRPr="00A9253C" w:rsidRDefault="005152E4" w:rsidP="00DE6E79">
      <w:pPr>
        <w:pStyle w:val="NormlWeb"/>
        <w:numPr>
          <w:ilvl w:val="1"/>
          <w:numId w:val="13"/>
        </w:numPr>
        <w:shd w:val="clear" w:color="auto" w:fill="FFFFFF"/>
        <w:tabs>
          <w:tab w:val="left" w:pos="426"/>
        </w:tabs>
        <w:spacing w:before="0" w:beforeAutospacing="0" w:after="120" w:afterAutospacing="0"/>
        <w:ind w:left="0" w:firstLine="142"/>
        <w:jc w:val="both"/>
        <w:rPr>
          <w:rStyle w:val="Kiemels2"/>
          <w:rFonts w:ascii="Titillium Web" w:hAnsi="Titillium Web" w:cs="Arial"/>
          <w:b w:val="0"/>
          <w:bCs w:val="0"/>
          <w:bdr w:val="none" w:sz="0" w:space="0" w:color="auto" w:frame="1"/>
        </w:rPr>
      </w:pPr>
      <w:r w:rsidRPr="00A9253C">
        <w:rPr>
          <w:rStyle w:val="Kiemels2"/>
          <w:rFonts w:ascii="Titillium Web" w:hAnsi="Titillium Web" w:cs="Arial"/>
          <w:b w:val="0"/>
          <w:bCs w:val="0"/>
          <w:bdr w:val="none" w:sz="0" w:space="0" w:color="auto" w:frame="1"/>
        </w:rPr>
        <w:t>a mezőgazdasági művelés alatt álló belterületi telek,</w:t>
      </w:r>
    </w:p>
    <w:p w14:paraId="47C94B09" w14:textId="21192C49" w:rsidR="005152E4" w:rsidRPr="00A9253C" w:rsidRDefault="005152E4" w:rsidP="00DE6E79">
      <w:pPr>
        <w:pStyle w:val="NormlWeb"/>
        <w:numPr>
          <w:ilvl w:val="1"/>
          <w:numId w:val="13"/>
        </w:numPr>
        <w:shd w:val="clear" w:color="auto" w:fill="FFFFFF"/>
        <w:tabs>
          <w:tab w:val="left" w:pos="426"/>
        </w:tabs>
        <w:spacing w:before="0" w:beforeAutospacing="0" w:after="120" w:afterAutospacing="0"/>
        <w:ind w:left="0" w:firstLine="142"/>
        <w:jc w:val="both"/>
        <w:rPr>
          <w:rStyle w:val="Kiemels2"/>
          <w:rFonts w:ascii="Titillium Web" w:hAnsi="Titillium Web" w:cs="Arial"/>
          <w:b w:val="0"/>
          <w:bCs w:val="0"/>
          <w:bdr w:val="none" w:sz="0" w:space="0" w:color="auto" w:frame="1"/>
        </w:rPr>
      </w:pPr>
      <w:r w:rsidRPr="00A9253C">
        <w:rPr>
          <w:rStyle w:val="Kiemels2"/>
          <w:rFonts w:ascii="Titillium Web" w:hAnsi="Titillium Web" w:cs="Arial"/>
          <w:b w:val="0"/>
          <w:bCs w:val="0"/>
          <w:bdr w:val="none" w:sz="0" w:space="0" w:color="auto" w:frame="1"/>
        </w:rPr>
        <w:t>az építési tilalom alatt álló telek adóköteles területének 50%-a,</w:t>
      </w:r>
    </w:p>
    <w:p w14:paraId="601D330D" w14:textId="48F82020" w:rsidR="005152E4" w:rsidRPr="00A9253C" w:rsidRDefault="005152E4" w:rsidP="00DE6E79">
      <w:pPr>
        <w:pStyle w:val="NormlWeb"/>
        <w:numPr>
          <w:ilvl w:val="1"/>
          <w:numId w:val="13"/>
        </w:numPr>
        <w:shd w:val="clear" w:color="auto" w:fill="FFFFFF"/>
        <w:tabs>
          <w:tab w:val="left" w:pos="426"/>
        </w:tabs>
        <w:spacing w:before="0" w:beforeAutospacing="0" w:after="120" w:afterAutospacing="0"/>
        <w:ind w:left="0" w:firstLine="142"/>
        <w:jc w:val="both"/>
        <w:rPr>
          <w:rStyle w:val="Kiemels2"/>
          <w:rFonts w:ascii="Titillium Web" w:hAnsi="Titillium Web" w:cs="Arial"/>
          <w:b w:val="0"/>
          <w:bCs w:val="0"/>
          <w:bdr w:val="none" w:sz="0" w:space="0" w:color="auto" w:frame="1"/>
        </w:rPr>
      </w:pPr>
      <w:r w:rsidRPr="00A9253C">
        <w:rPr>
          <w:rStyle w:val="Kiemels2"/>
          <w:rFonts w:ascii="Titillium Web" w:hAnsi="Titillium Web" w:cs="Arial"/>
          <w:b w:val="0"/>
          <w:bCs w:val="0"/>
          <w:bdr w:val="none" w:sz="0" w:space="0" w:color="auto" w:frame="1"/>
        </w:rPr>
        <w:t>az adóalany termék-előállító üzeméhez tartozó, jogszabályban vagy hatósági előírásban megállapított védő-biztonsági terület (övezet), feltéve, ha az adóalany adóévet megelőző adóévi, évesített nettó árbevétele legalább 50%-ban saját előállítású termék értékesítéséből származik,</w:t>
      </w:r>
    </w:p>
    <w:p w14:paraId="6879C348" w14:textId="1E63206C" w:rsidR="005152E4" w:rsidRPr="00A9253C" w:rsidRDefault="005152E4" w:rsidP="00DE6E79">
      <w:pPr>
        <w:pStyle w:val="NormlWeb"/>
        <w:numPr>
          <w:ilvl w:val="1"/>
          <w:numId w:val="13"/>
        </w:numPr>
        <w:shd w:val="clear" w:color="auto" w:fill="FFFFFF"/>
        <w:tabs>
          <w:tab w:val="left" w:pos="426"/>
        </w:tabs>
        <w:spacing w:before="0" w:beforeAutospacing="0" w:after="120" w:afterAutospacing="0"/>
        <w:ind w:left="0" w:firstLine="142"/>
        <w:jc w:val="both"/>
        <w:rPr>
          <w:rStyle w:val="Kiemels2"/>
          <w:rFonts w:ascii="Titillium Web" w:hAnsi="Titillium Web" w:cs="Arial"/>
          <w:b w:val="0"/>
          <w:bCs w:val="0"/>
          <w:bdr w:val="none" w:sz="0" w:space="0" w:color="auto" w:frame="1"/>
        </w:rPr>
      </w:pPr>
      <w:r w:rsidRPr="00A9253C">
        <w:rPr>
          <w:rStyle w:val="Kiemels2"/>
          <w:rFonts w:ascii="Titillium Web" w:hAnsi="Titillium Web" w:cs="Arial"/>
          <w:b w:val="0"/>
          <w:bCs w:val="0"/>
          <w:bdr w:val="none" w:sz="0" w:space="0" w:color="auto" w:frame="1"/>
        </w:rPr>
        <w:t xml:space="preserve">az egyes sportcélú állami tulajdonú vagyonelemek ingyenes tulajdonba adásáról, valamint egyes kapcsolódó törvények módosításáról szóló 2025. évi XLVI. törvény, és a Magyarország 2026. évi központi költségvetésének megalapozásáról szóló 2025. évi LI. </w:t>
      </w:r>
      <w:r w:rsidRPr="00A9253C">
        <w:rPr>
          <w:rStyle w:val="Kiemels2"/>
          <w:rFonts w:ascii="Titillium Web" w:hAnsi="Titillium Web" w:cs="Arial"/>
          <w:b w:val="0"/>
          <w:bCs w:val="0"/>
          <w:bdr w:val="none" w:sz="0" w:space="0" w:color="auto" w:frame="1"/>
        </w:rPr>
        <w:lastRenderedPageBreak/>
        <w:t>törvény szerinti vagyonjuttatással az állam által sportcélú közfeladat ellátása, közösségi sportcélú használat biztosítása érdekében, ingyenesen sportszervezet vagy országos sportági szakszövetség tulajdonába adott ingó- és ingatlanvagyon.</w:t>
      </w:r>
    </w:p>
    <w:p w14:paraId="598A7056" w14:textId="4E2D201B" w:rsidR="00FE7BA2" w:rsidRPr="00A9253C" w:rsidRDefault="00017CED" w:rsidP="00DE6E79">
      <w:pPr>
        <w:pStyle w:val="NormlWeb"/>
        <w:numPr>
          <w:ilvl w:val="0"/>
          <w:numId w:val="2"/>
        </w:numPr>
        <w:shd w:val="clear" w:color="auto" w:fill="FFFFFF"/>
        <w:tabs>
          <w:tab w:val="left" w:pos="284"/>
        </w:tabs>
        <w:spacing w:before="0" w:beforeAutospacing="0" w:after="120" w:afterAutospacing="0"/>
        <w:ind w:left="0" w:firstLine="0"/>
        <w:rPr>
          <w:rStyle w:val="Kiemels2"/>
          <w:rFonts w:ascii="Titillium Web" w:eastAsiaTheme="minorHAnsi" w:hAnsi="Titillium Web" w:cs="Arial"/>
          <w:bdr w:val="none" w:sz="0" w:space="0" w:color="auto" w:frame="1"/>
          <w:lang w:eastAsia="en-US"/>
        </w:rPr>
      </w:pPr>
      <w:r w:rsidRPr="00A9253C">
        <w:rPr>
          <w:rStyle w:val="Kiemels2"/>
          <w:rFonts w:ascii="Titillium Web" w:eastAsiaTheme="minorHAnsi" w:hAnsi="Titillium Web" w:cs="Arial"/>
          <w:bdr w:val="none" w:sz="0" w:space="0" w:color="auto" w:frame="1"/>
          <w:lang w:eastAsia="en-US"/>
        </w:rPr>
        <w:t xml:space="preserve">A </w:t>
      </w:r>
      <w:r w:rsidR="001034C5" w:rsidRPr="00A9253C">
        <w:rPr>
          <w:rStyle w:val="Kiemels2"/>
          <w:rFonts w:ascii="Titillium Web" w:eastAsiaTheme="minorHAnsi" w:hAnsi="Titillium Web" w:cs="Arial"/>
          <w:bdr w:val="none" w:sz="0" w:space="0" w:color="auto" w:frame="1"/>
          <w:lang w:eastAsia="en-US"/>
        </w:rPr>
        <w:t>telek</w:t>
      </w:r>
      <w:r w:rsidRPr="00A9253C">
        <w:rPr>
          <w:rStyle w:val="Kiemels2"/>
          <w:rFonts w:ascii="Titillium Web" w:eastAsiaTheme="minorHAnsi" w:hAnsi="Titillium Web" w:cs="Arial"/>
          <w:bdr w:val="none" w:sz="0" w:space="0" w:color="auto" w:frame="1"/>
          <w:lang w:eastAsia="en-US"/>
        </w:rPr>
        <w:t>adó alapja</w:t>
      </w:r>
    </w:p>
    <w:p w14:paraId="4EEF2513" w14:textId="0911A935" w:rsidR="00017CED" w:rsidRPr="00A9253C" w:rsidRDefault="00017CED" w:rsidP="001034C5">
      <w:pPr>
        <w:pStyle w:val="NormlWeb"/>
        <w:shd w:val="clear" w:color="auto" w:fill="FFFFFF"/>
        <w:spacing w:before="0" w:beforeAutospacing="0" w:after="120" w:afterAutospacing="0"/>
        <w:ind w:left="284"/>
        <w:jc w:val="both"/>
        <w:rPr>
          <w:rFonts w:ascii="Titillium Web" w:hAnsi="Titillium Web" w:cs="Arial"/>
        </w:rPr>
      </w:pPr>
      <w:r w:rsidRPr="00A9253C">
        <w:rPr>
          <w:rFonts w:ascii="Titillium Web" w:hAnsi="Titillium Web" w:cs="Arial"/>
        </w:rPr>
        <w:t xml:space="preserve">A </w:t>
      </w:r>
      <w:r w:rsidR="001034C5" w:rsidRPr="00A9253C">
        <w:rPr>
          <w:rFonts w:ascii="Titillium Web" w:hAnsi="Titillium Web" w:cs="Arial"/>
        </w:rPr>
        <w:t>telek</w:t>
      </w:r>
      <w:r w:rsidRPr="00A9253C">
        <w:rPr>
          <w:rFonts w:ascii="Titillium Web" w:hAnsi="Titillium Web" w:cs="Arial"/>
        </w:rPr>
        <w:t>adó alapja a</w:t>
      </w:r>
      <w:r w:rsidR="001034C5" w:rsidRPr="00A9253C">
        <w:rPr>
          <w:rFonts w:ascii="Titillium Web" w:hAnsi="Titillium Web" w:cs="Arial"/>
        </w:rPr>
        <w:t xml:space="preserve"> telek </w:t>
      </w:r>
      <w:r w:rsidRPr="00A9253C">
        <w:rPr>
          <w:rFonts w:ascii="Titillium Web" w:hAnsi="Titillium Web" w:cs="Arial"/>
        </w:rPr>
        <w:t>m</w:t>
      </w:r>
      <w:r w:rsidRPr="00A9253C">
        <w:rPr>
          <w:rFonts w:ascii="Titillium Web" w:hAnsi="Titillium Web" w:cs="Arial"/>
          <w:vertAlign w:val="superscript"/>
        </w:rPr>
        <w:t>2</w:t>
      </w:r>
      <w:r w:rsidRPr="00A9253C">
        <w:rPr>
          <w:rFonts w:ascii="Titillium Web" w:hAnsi="Titillium Web" w:cs="Arial"/>
        </w:rPr>
        <w:t>-ben számított területe.</w:t>
      </w:r>
    </w:p>
    <w:p w14:paraId="6D358DE5" w14:textId="49BF205C" w:rsidR="00017CED" w:rsidRPr="00A9253C" w:rsidRDefault="00017CED" w:rsidP="00DE6E79">
      <w:pPr>
        <w:pStyle w:val="NormlWeb"/>
        <w:numPr>
          <w:ilvl w:val="0"/>
          <w:numId w:val="2"/>
        </w:numPr>
        <w:shd w:val="clear" w:color="auto" w:fill="FFFFFF"/>
        <w:tabs>
          <w:tab w:val="left" w:pos="284"/>
        </w:tabs>
        <w:spacing w:before="0" w:beforeAutospacing="0" w:after="120" w:afterAutospacing="0"/>
        <w:ind w:left="0" w:firstLine="0"/>
        <w:rPr>
          <w:rFonts w:ascii="Titillium Web" w:hAnsi="Titillium Web" w:cs="Arial"/>
        </w:rPr>
      </w:pPr>
      <w:r w:rsidRPr="00A9253C">
        <w:rPr>
          <w:rStyle w:val="Kiemels2"/>
          <w:rFonts w:ascii="Titillium Web" w:eastAsiaTheme="minorHAnsi" w:hAnsi="Titillium Web"/>
          <w:bdr w:val="none" w:sz="0" w:space="0" w:color="auto" w:frame="1"/>
          <w:lang w:eastAsia="en-US"/>
        </w:rPr>
        <w:t xml:space="preserve">A </w:t>
      </w:r>
      <w:r w:rsidR="001034C5" w:rsidRPr="00A9253C">
        <w:rPr>
          <w:rStyle w:val="Kiemels2"/>
          <w:rFonts w:ascii="Titillium Web" w:eastAsiaTheme="minorHAnsi" w:hAnsi="Titillium Web"/>
          <w:bdr w:val="none" w:sz="0" w:space="0" w:color="auto" w:frame="1"/>
          <w:lang w:eastAsia="en-US"/>
        </w:rPr>
        <w:t>telek</w:t>
      </w:r>
      <w:r w:rsidRPr="00A9253C">
        <w:rPr>
          <w:rStyle w:val="Kiemels2"/>
          <w:rFonts w:ascii="Titillium Web" w:eastAsiaTheme="minorHAnsi" w:hAnsi="Titillium Web"/>
          <w:bdr w:val="none" w:sz="0" w:space="0" w:color="auto" w:frame="1"/>
          <w:lang w:eastAsia="en-US"/>
        </w:rPr>
        <w:t>adó mértéke</w:t>
      </w:r>
    </w:p>
    <w:p w14:paraId="7A53C2C3" w14:textId="4569B4FA" w:rsidR="0093054B" w:rsidRPr="00A9253C" w:rsidRDefault="00017CED" w:rsidP="001034C5">
      <w:pPr>
        <w:pStyle w:val="NormlWeb"/>
        <w:shd w:val="clear" w:color="auto" w:fill="FFFFFF"/>
        <w:spacing w:before="0" w:beforeAutospacing="0" w:after="120" w:afterAutospacing="0"/>
        <w:ind w:left="284"/>
        <w:jc w:val="both"/>
        <w:rPr>
          <w:rFonts w:ascii="Titillium Web" w:hAnsi="Titillium Web" w:cs="Arial"/>
        </w:rPr>
      </w:pPr>
      <w:r w:rsidRPr="00A9253C">
        <w:rPr>
          <w:rFonts w:ascii="Titillium Web" w:hAnsi="Titillium Web" w:cs="Arial"/>
        </w:rPr>
        <w:t xml:space="preserve">Az általános adómérték </w:t>
      </w:r>
      <w:r w:rsidR="001034C5" w:rsidRPr="00A9253C">
        <w:rPr>
          <w:rFonts w:ascii="Titillium Web" w:hAnsi="Titillium Web" w:cs="Arial"/>
          <w:b/>
          <w:bCs/>
        </w:rPr>
        <w:t>556</w:t>
      </w:r>
      <w:r w:rsidRPr="00A9253C">
        <w:rPr>
          <w:rFonts w:ascii="Titillium Web" w:hAnsi="Titillium Web" w:cs="Arial"/>
          <w:b/>
          <w:bCs/>
        </w:rPr>
        <w:t xml:space="preserve"> Ft/m</w:t>
      </w:r>
      <w:r w:rsidRPr="00A9253C">
        <w:rPr>
          <w:rFonts w:ascii="Titillium Web" w:hAnsi="Titillium Web" w:cs="Arial"/>
          <w:b/>
          <w:bCs/>
          <w:vertAlign w:val="superscript"/>
        </w:rPr>
        <w:t>2</w:t>
      </w:r>
      <w:r w:rsidRPr="00A9253C">
        <w:rPr>
          <w:rFonts w:ascii="Titillium Web" w:hAnsi="Titillium Web" w:cs="Arial"/>
          <w:b/>
          <w:bCs/>
        </w:rPr>
        <w:t>/év</w:t>
      </w:r>
      <w:r w:rsidRPr="00A9253C">
        <w:rPr>
          <w:rFonts w:ascii="Titillium Web" w:hAnsi="Titillium Web" w:cs="Arial"/>
        </w:rPr>
        <w:t xml:space="preserve"> </w:t>
      </w:r>
    </w:p>
    <w:p w14:paraId="1FAC2FE5" w14:textId="449A7489" w:rsidR="0093054B" w:rsidRPr="00A9253C" w:rsidRDefault="0093054B" w:rsidP="00DE6E79">
      <w:pPr>
        <w:pStyle w:val="NormlWeb"/>
        <w:numPr>
          <w:ilvl w:val="0"/>
          <w:numId w:val="2"/>
        </w:numPr>
        <w:shd w:val="clear" w:color="auto" w:fill="FFFFFF"/>
        <w:tabs>
          <w:tab w:val="left" w:pos="284"/>
        </w:tabs>
        <w:spacing w:before="0" w:beforeAutospacing="0" w:after="120" w:afterAutospacing="0"/>
        <w:ind w:left="0" w:firstLine="0"/>
        <w:rPr>
          <w:rStyle w:val="Kiemels2"/>
          <w:rFonts w:ascii="Titillium Web" w:eastAsiaTheme="minorHAnsi" w:hAnsi="Titillium Web"/>
          <w:bdr w:val="none" w:sz="0" w:space="0" w:color="auto" w:frame="1"/>
          <w:lang w:eastAsia="en-US"/>
        </w:rPr>
      </w:pPr>
      <w:r w:rsidRPr="00A9253C">
        <w:rPr>
          <w:rStyle w:val="Kiemels2"/>
          <w:rFonts w:ascii="Titillium Web" w:eastAsiaTheme="minorHAnsi" w:hAnsi="Titillium Web"/>
          <w:bdr w:val="none" w:sz="0" w:space="0" w:color="auto" w:frame="1"/>
          <w:lang w:eastAsia="en-US"/>
        </w:rPr>
        <w:t>Eljárási díj</w:t>
      </w:r>
    </w:p>
    <w:p w14:paraId="2F047D7E" w14:textId="0B824560" w:rsidR="00FE7BA2" w:rsidRPr="00A9253C" w:rsidRDefault="00FE7BA2" w:rsidP="00DE6E79">
      <w:pPr>
        <w:pStyle w:val="NormlWeb"/>
        <w:shd w:val="clear" w:color="auto" w:fill="FFFFFF"/>
        <w:spacing w:before="0" w:beforeAutospacing="0" w:after="120" w:afterAutospacing="0"/>
        <w:ind w:left="284"/>
        <w:jc w:val="both"/>
        <w:rPr>
          <w:rFonts w:ascii="Titillium Web" w:hAnsi="Titillium Web" w:cs="Arial"/>
        </w:rPr>
      </w:pPr>
      <w:r w:rsidRPr="00A9253C">
        <w:rPr>
          <w:rFonts w:ascii="Titillium Web" w:hAnsi="Titillium Web" w:cs="Arial"/>
        </w:rPr>
        <w:t>Az eljárás illetékmentes.</w:t>
      </w:r>
    </w:p>
    <w:p w14:paraId="5A4F13FA" w14:textId="4686828C" w:rsidR="00FE7BA2" w:rsidRPr="00A9253C" w:rsidRDefault="00213E14" w:rsidP="00213E14">
      <w:pPr>
        <w:pStyle w:val="NormlWeb"/>
        <w:numPr>
          <w:ilvl w:val="0"/>
          <w:numId w:val="2"/>
        </w:numPr>
        <w:shd w:val="clear" w:color="auto" w:fill="FFFFFF"/>
        <w:tabs>
          <w:tab w:val="left" w:pos="426"/>
        </w:tabs>
        <w:spacing w:before="0" w:beforeAutospacing="0" w:after="120" w:afterAutospacing="0"/>
        <w:ind w:left="0" w:firstLine="0"/>
        <w:rPr>
          <w:rStyle w:val="Kiemels2"/>
          <w:rFonts w:ascii="Titillium Web" w:eastAsiaTheme="minorHAnsi" w:hAnsi="Titillium Web"/>
          <w:bdr w:val="none" w:sz="0" w:space="0" w:color="auto" w:frame="1"/>
          <w:lang w:eastAsia="en-US"/>
        </w:rPr>
      </w:pPr>
      <w:r>
        <w:rPr>
          <w:rStyle w:val="Kiemels2"/>
          <w:rFonts w:ascii="Titillium Web" w:eastAsiaTheme="minorHAnsi" w:hAnsi="Titillium Web"/>
          <w:bdr w:val="none" w:sz="0" w:space="0" w:color="auto" w:frame="1"/>
          <w:lang w:eastAsia="en-US"/>
        </w:rPr>
        <w:t>B</w:t>
      </w:r>
      <w:r w:rsidR="00FE7BA2" w:rsidRPr="00A9253C">
        <w:rPr>
          <w:rStyle w:val="Kiemels2"/>
          <w:rFonts w:ascii="Titillium Web" w:eastAsiaTheme="minorHAnsi" w:hAnsi="Titillium Web"/>
          <w:bdr w:val="none" w:sz="0" w:space="0" w:color="auto" w:frame="1"/>
          <w:lang w:eastAsia="en-US"/>
        </w:rPr>
        <w:t>enyújtás módja</w:t>
      </w:r>
    </w:p>
    <w:p w14:paraId="0A5A550F" w14:textId="17E435AD" w:rsidR="000D71B9" w:rsidRPr="00A9253C" w:rsidRDefault="000D71B9" w:rsidP="000D71B9">
      <w:pPr>
        <w:pStyle w:val="Listaszerbekezds"/>
        <w:numPr>
          <w:ilvl w:val="1"/>
          <w:numId w:val="2"/>
        </w:numPr>
        <w:spacing w:after="120" w:line="240" w:lineRule="auto"/>
        <w:ind w:left="1077"/>
        <w:contextualSpacing w:val="0"/>
        <w:jc w:val="both"/>
        <w:rPr>
          <w:rFonts w:ascii="Titillium Web" w:eastAsia="Times New Roman" w:hAnsi="Titillium Web" w:cs="Arial"/>
        </w:rPr>
      </w:pPr>
      <w:r w:rsidRPr="00A9253C">
        <w:rPr>
          <w:rFonts w:ascii="Titillium Web" w:eastAsia="Times New Roman" w:hAnsi="Titillium Web" w:cs="Arial"/>
          <w:b/>
          <w:bCs/>
        </w:rPr>
        <w:t>Elektronikus úton</w:t>
      </w:r>
      <w:r w:rsidRPr="00A9253C">
        <w:rPr>
          <w:rFonts w:ascii="Titillium Web" w:eastAsia="Times New Roman" w:hAnsi="Titillium Web" w:cs="Arial"/>
        </w:rPr>
        <w:t xml:space="preserve"> – </w:t>
      </w:r>
      <w:r w:rsidR="000A552F" w:rsidRPr="00A9253C">
        <w:rPr>
          <w:rFonts w:ascii="Titillium Web" w:eastAsia="Times New Roman" w:hAnsi="Titillium Web" w:cs="Arial"/>
        </w:rPr>
        <w:t>az</w:t>
      </w:r>
      <w:r w:rsidRPr="00A9253C">
        <w:rPr>
          <w:rFonts w:ascii="Titillium Web" w:eastAsia="Times New Roman" w:hAnsi="Titillium Web" w:cs="Arial"/>
        </w:rPr>
        <w:t xml:space="preserve"> elektronikus kapcsolattartásra kötelezett adóalany, valamint az elektronikus kapcsolattartásra nem kötelezett természetes személy adóalany saját választása szerint </w:t>
      </w:r>
      <w:r w:rsidR="00404D7E" w:rsidRPr="00A9253C">
        <w:rPr>
          <w:rFonts w:ascii="Titillium Web" w:eastAsia="Times New Roman" w:hAnsi="Titillium Web" w:cs="Arial"/>
        </w:rPr>
        <w:t xml:space="preserve">– </w:t>
      </w:r>
      <w:r w:rsidRPr="00A9253C">
        <w:rPr>
          <w:rFonts w:ascii="Titillium Web" w:eastAsia="Times New Roman" w:hAnsi="Titillium Web" w:cs="Arial"/>
        </w:rPr>
        <w:t>az E-Önkormányzat Portálon (</w:t>
      </w:r>
      <w:hyperlink r:id="rId8" w:history="1">
        <w:r w:rsidRPr="00A9253C">
          <w:rPr>
            <w:rStyle w:val="Hiperhivatkozs"/>
            <w:rFonts w:ascii="Titillium Web" w:eastAsia="Times New Roman" w:hAnsi="Titillium Web" w:cs="Arial"/>
          </w:rPr>
          <w:t>E-Önkormányzat Portál</w:t>
        </w:r>
      </w:hyperlink>
      <w:r w:rsidRPr="00A9253C">
        <w:rPr>
          <w:rFonts w:ascii="Titillium Web" w:eastAsia="Times New Roman" w:hAnsi="Titillium Web" w:cs="Arial"/>
        </w:rPr>
        <w:t>)</w:t>
      </w:r>
      <w:r w:rsidR="00654C4F" w:rsidRPr="00A9253C">
        <w:rPr>
          <w:rFonts w:ascii="Titillium Web" w:eastAsia="Times New Roman" w:hAnsi="Titillium Web" w:cs="Arial"/>
        </w:rPr>
        <w:t>.</w:t>
      </w:r>
      <w:r w:rsidR="000A552F" w:rsidRPr="00A9253C">
        <w:rPr>
          <w:rFonts w:ascii="Titillium Web" w:eastAsia="Times New Roman" w:hAnsi="Titillium Web" w:cs="Arial"/>
        </w:rPr>
        <w:t xml:space="preserve"> Az E-Papír</w:t>
      </w:r>
      <w:r w:rsidR="00404D7E" w:rsidRPr="00A9253C">
        <w:rPr>
          <w:rFonts w:ascii="Titillium Web" w:eastAsia="Times New Roman" w:hAnsi="Titillium Web" w:cs="Arial"/>
        </w:rPr>
        <w:t xml:space="preserve"> szolgáltatás igénybevételével</w:t>
      </w:r>
      <w:r w:rsidR="000A552F" w:rsidRPr="00A9253C">
        <w:rPr>
          <w:rFonts w:ascii="Titillium Web" w:eastAsia="Times New Roman" w:hAnsi="Titillium Web" w:cs="Arial"/>
        </w:rPr>
        <w:t xml:space="preserve"> benyújtott </w:t>
      </w:r>
      <w:r w:rsidR="00404D7E" w:rsidRPr="00A9253C">
        <w:rPr>
          <w:rFonts w:ascii="Titillium Web" w:eastAsia="Times New Roman" w:hAnsi="Titillium Web" w:cs="Arial"/>
        </w:rPr>
        <w:t xml:space="preserve">adatbejelentést </w:t>
      </w:r>
      <w:r w:rsidR="00404D7E" w:rsidRPr="00A9253C">
        <w:rPr>
          <w:rFonts w:ascii="Titillium Web" w:eastAsia="Times New Roman" w:hAnsi="Titillium Web" w:cs="Arial"/>
          <w:b/>
          <w:bCs/>
        </w:rPr>
        <w:t>be nem nyújtottnak kell tekinteni</w:t>
      </w:r>
      <w:r w:rsidR="000A552F" w:rsidRPr="00A9253C">
        <w:rPr>
          <w:rFonts w:ascii="Titillium Web" w:eastAsia="Times New Roman" w:hAnsi="Titillium Web" w:cs="Arial"/>
        </w:rPr>
        <w:t>.</w:t>
      </w:r>
    </w:p>
    <w:p w14:paraId="4D68F94A" w14:textId="7F6EADB1" w:rsidR="000D71B9" w:rsidRPr="00A9253C" w:rsidRDefault="000D71B9" w:rsidP="000D71B9">
      <w:pPr>
        <w:pStyle w:val="Listaszerbekezds"/>
        <w:numPr>
          <w:ilvl w:val="1"/>
          <w:numId w:val="2"/>
        </w:numPr>
        <w:spacing w:after="120" w:line="240" w:lineRule="auto"/>
        <w:contextualSpacing w:val="0"/>
        <w:jc w:val="both"/>
        <w:rPr>
          <w:rFonts w:ascii="Titillium Web" w:eastAsia="Times New Roman" w:hAnsi="Titillium Web" w:cs="Arial"/>
        </w:rPr>
      </w:pPr>
      <w:r w:rsidRPr="00A9253C">
        <w:rPr>
          <w:rFonts w:ascii="Titillium Web" w:eastAsia="Times New Roman" w:hAnsi="Titillium Web" w:cs="Arial"/>
          <w:b/>
          <w:bCs/>
        </w:rPr>
        <w:t>Postai úton</w:t>
      </w:r>
      <w:r w:rsidRPr="00A9253C">
        <w:rPr>
          <w:rFonts w:ascii="Titillium Web" w:eastAsia="Times New Roman" w:hAnsi="Titillium Web" w:cs="Arial"/>
        </w:rPr>
        <w:t xml:space="preserve"> </w:t>
      </w:r>
      <w:r w:rsidR="00C723DF" w:rsidRPr="00A9253C">
        <w:rPr>
          <w:rFonts w:ascii="Titillium Web" w:eastAsia="Times New Roman" w:hAnsi="Titillium Web" w:cs="Arial"/>
        </w:rPr>
        <w:t xml:space="preserve">– az elektronikus kapcsolattartásra nem kötelezett természetes személy adóalany − </w:t>
      </w:r>
      <w:r w:rsidRPr="00A9253C">
        <w:rPr>
          <w:rFonts w:ascii="Titillium Web" w:eastAsia="Times New Roman" w:hAnsi="Titillium Web" w:cs="Arial"/>
        </w:rPr>
        <w:t>(Budapest Főváros IX. Kerület Ferencváros Polgármesteri Hivatal, 1093 Budapest, Bakáts utca 8.)</w:t>
      </w:r>
    </w:p>
    <w:p w14:paraId="769F78D9" w14:textId="677DE9D3" w:rsidR="00565BB3" w:rsidRPr="00A9253C" w:rsidRDefault="000D71B9" w:rsidP="00654C4F">
      <w:pPr>
        <w:pStyle w:val="Listaszerbekezds"/>
        <w:numPr>
          <w:ilvl w:val="1"/>
          <w:numId w:val="2"/>
        </w:numPr>
        <w:spacing w:after="120" w:line="240" w:lineRule="auto"/>
        <w:ind w:left="1077"/>
        <w:contextualSpacing w:val="0"/>
        <w:jc w:val="both"/>
        <w:rPr>
          <w:rFonts w:ascii="Titillium Web" w:eastAsia="Times New Roman" w:hAnsi="Titillium Web" w:cs="Arial"/>
        </w:rPr>
      </w:pPr>
      <w:r w:rsidRPr="00A9253C">
        <w:rPr>
          <w:rFonts w:ascii="Titillium Web" w:eastAsia="Times New Roman" w:hAnsi="Titillium Web" w:cs="Arial"/>
          <w:b/>
          <w:bCs/>
        </w:rPr>
        <w:t>Személyesen</w:t>
      </w:r>
      <w:r w:rsidRPr="00A9253C">
        <w:rPr>
          <w:rFonts w:ascii="Titillium Web" w:eastAsia="Times New Roman" w:hAnsi="Titillium Web" w:cs="Arial"/>
        </w:rPr>
        <w:t xml:space="preserve"> </w:t>
      </w:r>
      <w:r w:rsidR="00C723DF" w:rsidRPr="00A9253C">
        <w:rPr>
          <w:rFonts w:ascii="Titillium Web" w:eastAsia="Times New Roman" w:hAnsi="Titillium Web" w:cs="Arial"/>
        </w:rPr>
        <w:t xml:space="preserve">– az elektronikus kapcsolattartásra nem kötelezett természetes személy adóalany − </w:t>
      </w:r>
      <w:r w:rsidR="00565BB3" w:rsidRPr="00A9253C">
        <w:rPr>
          <w:rFonts w:ascii="Titillium Web" w:eastAsia="Times New Roman" w:hAnsi="Titillium Web" w:cs="Arial"/>
        </w:rPr>
        <w:t xml:space="preserve">az </w:t>
      </w:r>
      <w:r w:rsidRPr="00A9253C">
        <w:rPr>
          <w:rFonts w:ascii="Titillium Web" w:eastAsia="Times New Roman" w:hAnsi="Titillium Web" w:cs="Arial"/>
        </w:rPr>
        <w:t>Adóhatósági Csoport hivatali helyiségében</w:t>
      </w:r>
      <w:r w:rsidR="00565BB3" w:rsidRPr="00A9253C">
        <w:rPr>
          <w:rFonts w:ascii="Titillium Web" w:eastAsia="Times New Roman" w:hAnsi="Titillium Web" w:cs="Arial"/>
        </w:rPr>
        <w:t xml:space="preserve"> </w:t>
      </w:r>
      <w:r w:rsidRPr="00A9253C">
        <w:rPr>
          <w:rFonts w:ascii="Titillium Web" w:eastAsia="Times New Roman" w:hAnsi="Titillium Web" w:cs="Arial"/>
        </w:rPr>
        <w:t xml:space="preserve">(1093 Budapest, Bakáts utca 8. szám alatt a földszinti irodában) </w:t>
      </w:r>
      <w:r w:rsidR="00565BB3" w:rsidRPr="00A9253C">
        <w:rPr>
          <w:rFonts w:ascii="Titillium Web" w:eastAsia="Times New Roman" w:hAnsi="Titillium Web" w:cs="Arial"/>
        </w:rPr>
        <w:t>ügyfélfogadási időben</w:t>
      </w:r>
      <w:r w:rsidRPr="00A9253C">
        <w:rPr>
          <w:rFonts w:ascii="Titillium Web" w:eastAsia="Times New Roman" w:hAnsi="Titillium Web" w:cs="Arial"/>
        </w:rPr>
        <w:t xml:space="preserve"> (hétfő 13:00-17:30, szerda 8:00-16:00, péntek 8:00-12:00)</w:t>
      </w:r>
      <w:r w:rsidR="00565BB3" w:rsidRPr="00A9253C">
        <w:rPr>
          <w:rFonts w:ascii="Titillium Web" w:eastAsia="Times New Roman" w:hAnsi="Titillium Web" w:cs="Arial"/>
        </w:rPr>
        <w:t>.</w:t>
      </w:r>
    </w:p>
    <w:p w14:paraId="0E91E0DE" w14:textId="37831C97" w:rsidR="00FE7BA2" w:rsidRPr="00A9253C" w:rsidRDefault="000D71B9" w:rsidP="00213E14">
      <w:pPr>
        <w:pStyle w:val="NormlWeb"/>
        <w:numPr>
          <w:ilvl w:val="0"/>
          <w:numId w:val="2"/>
        </w:numPr>
        <w:shd w:val="clear" w:color="auto" w:fill="FFFFFF"/>
        <w:tabs>
          <w:tab w:val="left" w:pos="426"/>
        </w:tabs>
        <w:spacing w:before="0" w:beforeAutospacing="0" w:after="120" w:afterAutospacing="0"/>
        <w:ind w:left="0" w:firstLine="0"/>
        <w:rPr>
          <w:rStyle w:val="Kiemels2"/>
          <w:rFonts w:ascii="Titillium Web" w:eastAsiaTheme="minorHAnsi" w:hAnsi="Titillium Web"/>
          <w:bdr w:val="none" w:sz="0" w:space="0" w:color="auto" w:frame="1"/>
          <w:lang w:eastAsia="en-US"/>
        </w:rPr>
      </w:pPr>
      <w:r w:rsidRPr="00A9253C">
        <w:rPr>
          <w:rStyle w:val="Kiemels2"/>
          <w:rFonts w:ascii="Titillium Web" w:eastAsiaTheme="minorHAnsi" w:hAnsi="Titillium Web"/>
          <w:bdr w:val="none" w:sz="0" w:space="0" w:color="auto" w:frame="1"/>
          <w:lang w:eastAsia="en-US"/>
        </w:rPr>
        <w:t xml:space="preserve">Az adatbejelentés </w:t>
      </w:r>
      <w:r w:rsidR="00255013">
        <w:rPr>
          <w:rStyle w:val="Kiemels2"/>
          <w:rFonts w:ascii="Titillium Web" w:eastAsiaTheme="minorHAnsi" w:hAnsi="Titillium Web"/>
          <w:bdr w:val="none" w:sz="0" w:space="0" w:color="auto" w:frame="1"/>
          <w:lang w:eastAsia="en-US"/>
        </w:rPr>
        <w:t xml:space="preserve">nyomtatvány </w:t>
      </w:r>
    </w:p>
    <w:p w14:paraId="1E1E7E09" w14:textId="00C3CC57" w:rsidR="00213E14" w:rsidRPr="00255013" w:rsidRDefault="00255013" w:rsidP="00255013">
      <w:pPr>
        <w:pStyle w:val="Listaszerbekezds"/>
        <w:numPr>
          <w:ilvl w:val="1"/>
          <w:numId w:val="2"/>
        </w:numPr>
        <w:spacing w:after="120" w:line="240" w:lineRule="auto"/>
        <w:ind w:left="1077"/>
        <w:contextualSpacing w:val="0"/>
        <w:jc w:val="both"/>
        <w:rPr>
          <w:rFonts w:ascii="Titillium Web" w:eastAsia="Times New Roman" w:hAnsi="Titillium Web" w:cs="Arial"/>
        </w:rPr>
      </w:pPr>
      <w:r>
        <w:rPr>
          <w:rFonts w:ascii="Titillium Web" w:eastAsia="Times New Roman" w:hAnsi="Titillium Web" w:cs="Arial"/>
        </w:rPr>
        <w:t>Az űrlap elérhető</w:t>
      </w:r>
      <w:r w:rsidR="00213E14" w:rsidRPr="00255013">
        <w:rPr>
          <w:rFonts w:ascii="Titillium Web" w:eastAsia="Times New Roman" w:hAnsi="Titillium Web" w:cs="Arial"/>
        </w:rPr>
        <w:t xml:space="preserve"> az E-Önkormányzat Portálon (</w:t>
      </w:r>
      <w:hyperlink r:id="rId9" w:history="1">
        <w:r w:rsidR="00213E14" w:rsidRPr="00255013">
          <w:t>https://ohp-20.asp.lgov.hu/ugyinditas</w:t>
        </w:r>
      </w:hyperlink>
      <w:r w:rsidR="00213E14" w:rsidRPr="00255013">
        <w:rPr>
          <w:rFonts w:ascii="Titillium Web" w:eastAsia="Times New Roman" w:hAnsi="Titillium Web" w:cs="Arial"/>
        </w:rPr>
        <w:t>) Önkormányzat kereső: BUDAPEST FŐVÁROS IX. KERÜLET FERENCVÁROS ÖNKORMÁNYZATA, Ágazat: Adóügyi, Ügytípus: telekadó, Űrlap: Telekadó adatbejelentés + mellékletek csatolása.</w:t>
      </w:r>
    </w:p>
    <w:p w14:paraId="715D5EA7" w14:textId="3921C514" w:rsidR="00654C4F" w:rsidRPr="00A9253C" w:rsidRDefault="00654C4F" w:rsidP="00654C4F">
      <w:pPr>
        <w:pStyle w:val="Listaszerbekezds"/>
        <w:numPr>
          <w:ilvl w:val="1"/>
          <w:numId w:val="2"/>
        </w:numPr>
        <w:spacing w:after="120" w:line="240" w:lineRule="auto"/>
        <w:ind w:left="1077"/>
        <w:contextualSpacing w:val="0"/>
        <w:jc w:val="both"/>
        <w:rPr>
          <w:rFonts w:ascii="Titillium Web" w:eastAsia="Times New Roman" w:hAnsi="Titillium Web" w:cs="Arial"/>
          <w:bCs/>
        </w:rPr>
      </w:pPr>
      <w:r w:rsidRPr="00A9253C">
        <w:rPr>
          <w:rFonts w:ascii="Titillium Web" w:eastAsia="Times New Roman" w:hAnsi="Titillium Web" w:cs="Arial"/>
          <w:bCs/>
        </w:rPr>
        <w:t xml:space="preserve">Az adatbejelentés </w:t>
      </w:r>
      <w:r w:rsidR="00255013">
        <w:rPr>
          <w:rFonts w:ascii="Titillium Web" w:eastAsia="Times New Roman" w:hAnsi="Titillium Web" w:cs="Arial"/>
          <w:bCs/>
        </w:rPr>
        <w:t xml:space="preserve">nyomtatvány </w:t>
      </w:r>
      <w:r w:rsidRPr="00A9253C">
        <w:rPr>
          <w:rFonts w:ascii="Titillium Web" w:eastAsia="Times New Roman" w:hAnsi="Titillium Web" w:cs="Arial"/>
          <w:bCs/>
        </w:rPr>
        <w:t xml:space="preserve">elérhető az </w:t>
      </w:r>
      <w:r w:rsidR="00255013">
        <w:rPr>
          <w:rFonts w:ascii="Titillium Web" w:eastAsia="Times New Roman" w:hAnsi="Titillium Web" w:cs="Arial"/>
          <w:bCs/>
        </w:rPr>
        <w:t>Ö</w:t>
      </w:r>
      <w:r w:rsidRPr="00A9253C">
        <w:rPr>
          <w:rFonts w:ascii="Titillium Web" w:eastAsia="Times New Roman" w:hAnsi="Titillium Web" w:cs="Arial"/>
          <w:bCs/>
        </w:rPr>
        <w:t>nkormányzat honl</w:t>
      </w:r>
      <w:r w:rsidR="00255013">
        <w:rPr>
          <w:rFonts w:ascii="Titillium Web" w:eastAsia="Times New Roman" w:hAnsi="Titillium Web" w:cs="Arial"/>
          <w:bCs/>
        </w:rPr>
        <w:t xml:space="preserve">apján </w:t>
      </w:r>
      <w:r w:rsidRPr="00A9253C">
        <w:rPr>
          <w:rFonts w:ascii="Titillium Web" w:eastAsia="Times New Roman" w:hAnsi="Titillium Web" w:cs="Arial"/>
          <w:bCs/>
        </w:rPr>
        <w:t>is.</w:t>
      </w:r>
      <w:r w:rsidR="00255013">
        <w:rPr>
          <w:rFonts w:ascii="Titillium Web" w:eastAsia="Times New Roman" w:hAnsi="Titillium Web" w:cs="Arial"/>
          <w:bCs/>
        </w:rPr>
        <w:t xml:space="preserve"> (link)</w:t>
      </w:r>
    </w:p>
    <w:p w14:paraId="113B4CC4" w14:textId="77777777" w:rsidR="00FE7BA2" w:rsidRPr="00A9253C" w:rsidRDefault="00FE7BA2" w:rsidP="00213E14">
      <w:pPr>
        <w:pStyle w:val="NormlWeb"/>
        <w:numPr>
          <w:ilvl w:val="0"/>
          <w:numId w:val="2"/>
        </w:numPr>
        <w:shd w:val="clear" w:color="auto" w:fill="FFFFFF"/>
        <w:tabs>
          <w:tab w:val="left" w:pos="426"/>
        </w:tabs>
        <w:spacing w:before="0" w:beforeAutospacing="0" w:after="120" w:afterAutospacing="0"/>
        <w:ind w:left="0" w:firstLine="0"/>
        <w:rPr>
          <w:rStyle w:val="Kiemels2"/>
          <w:rFonts w:ascii="Titillium Web" w:eastAsiaTheme="minorHAnsi" w:hAnsi="Titillium Web"/>
          <w:bdr w:val="none" w:sz="0" w:space="0" w:color="auto" w:frame="1"/>
          <w:lang w:eastAsia="en-US"/>
        </w:rPr>
      </w:pPr>
      <w:r w:rsidRPr="00A9253C">
        <w:rPr>
          <w:rStyle w:val="Kiemels2"/>
          <w:rFonts w:ascii="Titillium Web" w:eastAsiaTheme="minorHAnsi" w:hAnsi="Titillium Web"/>
          <w:bdr w:val="none" w:sz="0" w:space="0" w:color="auto" w:frame="1"/>
          <w:lang w:eastAsia="en-US"/>
        </w:rPr>
        <w:t>Ügyintézési határidő</w:t>
      </w:r>
    </w:p>
    <w:p w14:paraId="2292CB6D" w14:textId="52FFD55E" w:rsidR="001A278C" w:rsidRPr="00A9253C" w:rsidRDefault="00654C4F" w:rsidP="001A278C">
      <w:pPr>
        <w:autoSpaceDE w:val="0"/>
        <w:autoSpaceDN w:val="0"/>
        <w:adjustRightInd w:val="0"/>
        <w:spacing w:after="120" w:line="240" w:lineRule="auto"/>
        <w:ind w:left="709"/>
        <w:jc w:val="both"/>
        <w:rPr>
          <w:rFonts w:ascii="Titillium Web" w:hAnsi="Titillium Web" w:cs="Arial"/>
          <w:bCs/>
        </w:rPr>
      </w:pPr>
      <w:r w:rsidRPr="00A9253C">
        <w:rPr>
          <w:rFonts w:ascii="Titillium Web" w:hAnsi="Titillium Web" w:cs="Arial"/>
          <w:bCs/>
        </w:rPr>
        <w:t>30 nap</w:t>
      </w:r>
    </w:p>
    <w:p w14:paraId="3A30A19C" w14:textId="77777777" w:rsidR="00FE7BA2" w:rsidRPr="00A9253C" w:rsidRDefault="00FE7BA2" w:rsidP="00213E14">
      <w:pPr>
        <w:pStyle w:val="NormlWeb"/>
        <w:numPr>
          <w:ilvl w:val="0"/>
          <w:numId w:val="2"/>
        </w:numPr>
        <w:shd w:val="clear" w:color="auto" w:fill="FFFFFF"/>
        <w:tabs>
          <w:tab w:val="left" w:pos="426"/>
        </w:tabs>
        <w:spacing w:before="0" w:beforeAutospacing="0" w:after="120" w:afterAutospacing="0"/>
        <w:ind w:left="0" w:firstLine="0"/>
        <w:rPr>
          <w:rStyle w:val="Kiemels2"/>
          <w:rFonts w:ascii="Titillium Web" w:eastAsiaTheme="minorHAnsi" w:hAnsi="Titillium Web"/>
          <w:bdr w:val="none" w:sz="0" w:space="0" w:color="auto" w:frame="1"/>
          <w:lang w:eastAsia="en-US"/>
        </w:rPr>
      </w:pPr>
      <w:r w:rsidRPr="00A9253C">
        <w:rPr>
          <w:rStyle w:val="Kiemels2"/>
          <w:rFonts w:ascii="Titillium Web" w:eastAsiaTheme="minorHAnsi" w:hAnsi="Titillium Web"/>
          <w:bdr w:val="none" w:sz="0" w:space="0" w:color="auto" w:frame="1"/>
          <w:lang w:eastAsia="en-US"/>
        </w:rPr>
        <w:t>Jogorvoslat</w:t>
      </w:r>
    </w:p>
    <w:p w14:paraId="76B4A72C" w14:textId="291CA8FD" w:rsidR="00FE7BA2" w:rsidRPr="00A9253C" w:rsidRDefault="00FE7BA2" w:rsidP="001A278C">
      <w:pPr>
        <w:autoSpaceDE w:val="0"/>
        <w:autoSpaceDN w:val="0"/>
        <w:adjustRightInd w:val="0"/>
        <w:spacing w:after="120" w:line="240" w:lineRule="auto"/>
        <w:ind w:left="709"/>
        <w:jc w:val="both"/>
        <w:rPr>
          <w:rFonts w:ascii="Titillium Web" w:hAnsi="Titillium Web" w:cs="Arial"/>
          <w:bCs/>
        </w:rPr>
      </w:pPr>
      <w:r w:rsidRPr="00A9253C">
        <w:rPr>
          <w:rFonts w:ascii="Titillium Web" w:hAnsi="Titillium Web" w:cs="Arial"/>
          <w:bCs/>
        </w:rPr>
        <w:lastRenderedPageBreak/>
        <w:t>A határozat ellen a közléstől számított 15 napon belül</w:t>
      </w:r>
      <w:r w:rsidR="001A278C" w:rsidRPr="00A9253C">
        <w:rPr>
          <w:rFonts w:ascii="Titillium Web" w:hAnsi="Titillium Web" w:cs="Arial"/>
          <w:bCs/>
        </w:rPr>
        <w:t xml:space="preserve"> Budapest Főváros Kormányhivatalához címzett, de a Hatósági Iroda Adóhatósági Csoportjánál fellebbezést lehet előterjeszteni. Az elsőfokú közigazgatási határozat elleni fellebbezés illetéke a fellebbezéssel érintett vagy vitatott összeg minden megkezdett 10 000 forintja után 400 forint, de legalább 5 000 forint, legfeljebb </w:t>
      </w:r>
      <w:r w:rsidR="001A278C" w:rsidRPr="00A9253C">
        <w:rPr>
          <w:rFonts w:ascii="Titillium Web" w:hAnsi="Titillium Web" w:cs="Arial"/>
          <w:bCs/>
        </w:rPr>
        <w:br/>
        <w:t>500 000 forint.</w:t>
      </w:r>
    </w:p>
    <w:p w14:paraId="4BB93F41" w14:textId="57D41845" w:rsidR="000A552F" w:rsidRPr="00A9253C" w:rsidRDefault="000A552F" w:rsidP="00213E14">
      <w:pPr>
        <w:pStyle w:val="NormlWeb"/>
        <w:numPr>
          <w:ilvl w:val="0"/>
          <w:numId w:val="2"/>
        </w:numPr>
        <w:shd w:val="clear" w:color="auto" w:fill="FFFFFF"/>
        <w:tabs>
          <w:tab w:val="left" w:pos="426"/>
        </w:tabs>
        <w:spacing w:before="0" w:beforeAutospacing="0" w:after="120" w:afterAutospacing="0"/>
        <w:ind w:left="0" w:firstLine="0"/>
        <w:rPr>
          <w:rStyle w:val="Kiemels2"/>
          <w:rFonts w:ascii="Titillium Web" w:eastAsiaTheme="minorHAnsi" w:hAnsi="Titillium Web"/>
          <w:bCs w:val="0"/>
          <w:bdr w:val="none" w:sz="0" w:space="0" w:color="auto" w:frame="1"/>
          <w:lang w:eastAsia="en-US"/>
        </w:rPr>
      </w:pPr>
      <w:r w:rsidRPr="00A9253C">
        <w:rPr>
          <w:rStyle w:val="Kiemels2"/>
          <w:rFonts w:ascii="Titillium Web" w:eastAsiaTheme="minorHAnsi" w:hAnsi="Titillium Web"/>
          <w:bCs w:val="0"/>
          <w:bdr w:val="none" w:sz="0" w:space="0" w:color="auto" w:frame="1"/>
          <w:lang w:eastAsia="en-US"/>
        </w:rPr>
        <w:t xml:space="preserve">A </w:t>
      </w:r>
      <w:r w:rsidR="001034C5" w:rsidRPr="00A9253C">
        <w:rPr>
          <w:rStyle w:val="Kiemels2"/>
          <w:rFonts w:ascii="Titillium Web" w:eastAsiaTheme="minorHAnsi" w:hAnsi="Titillium Web"/>
          <w:bCs w:val="0"/>
          <w:bdr w:val="none" w:sz="0" w:space="0" w:color="auto" w:frame="1"/>
          <w:lang w:eastAsia="en-US"/>
        </w:rPr>
        <w:t>telek</w:t>
      </w:r>
      <w:r w:rsidRPr="00A9253C">
        <w:rPr>
          <w:rStyle w:val="Kiemels2"/>
          <w:rFonts w:ascii="Titillium Web" w:eastAsiaTheme="minorHAnsi" w:hAnsi="Titillium Web"/>
          <w:bCs w:val="0"/>
          <w:bdr w:val="none" w:sz="0" w:space="0" w:color="auto" w:frame="1"/>
          <w:lang w:eastAsia="en-US"/>
        </w:rPr>
        <w:t>adó megfizetése</w:t>
      </w:r>
    </w:p>
    <w:p w14:paraId="4A2365C6" w14:textId="755130A6" w:rsidR="005D54B5" w:rsidRPr="00A9253C" w:rsidRDefault="000A552F" w:rsidP="00404D7E">
      <w:pPr>
        <w:pStyle w:val="Listaszerbekezds"/>
        <w:numPr>
          <w:ilvl w:val="1"/>
          <w:numId w:val="2"/>
        </w:numPr>
        <w:autoSpaceDE w:val="0"/>
        <w:autoSpaceDN w:val="0"/>
        <w:adjustRightInd w:val="0"/>
        <w:spacing w:after="120" w:line="240" w:lineRule="auto"/>
        <w:ind w:left="1077"/>
        <w:contextualSpacing w:val="0"/>
        <w:jc w:val="both"/>
        <w:rPr>
          <w:rFonts w:ascii="Titillium Web" w:hAnsi="Titillium Web" w:cs="Arial"/>
          <w:bCs/>
        </w:rPr>
      </w:pPr>
      <w:r w:rsidRPr="00A9253C">
        <w:rPr>
          <w:rFonts w:ascii="Titillium Web" w:hAnsi="Titillium Web" w:cs="Arial"/>
          <w:bCs/>
        </w:rPr>
        <w:t xml:space="preserve">A </w:t>
      </w:r>
      <w:r w:rsidR="001034C5" w:rsidRPr="00A9253C">
        <w:rPr>
          <w:rFonts w:ascii="Titillium Web" w:hAnsi="Titillium Web" w:cs="Arial"/>
          <w:bCs/>
        </w:rPr>
        <w:t>teleka</w:t>
      </w:r>
      <w:r w:rsidRPr="00A9253C">
        <w:rPr>
          <w:rFonts w:ascii="Titillium Web" w:hAnsi="Titillium Web" w:cs="Arial"/>
          <w:bCs/>
        </w:rPr>
        <w:t xml:space="preserve">dót két egyenlő részletben, március 15-i és szeptember 15-i határidővel kell befizetni. </w:t>
      </w:r>
      <w:r w:rsidR="00CA167F" w:rsidRPr="00A9253C">
        <w:rPr>
          <w:rFonts w:ascii="Titillium Web" w:hAnsi="Titillium Web" w:cs="Arial"/>
          <w:bCs/>
        </w:rPr>
        <w:t xml:space="preserve">Az adókötelezettség év közben történő megállapítása esetén az adó összegét az azt megállapító határozatban foglaltak szerint kell megfizetni. </w:t>
      </w:r>
      <w:r w:rsidRPr="00A9253C">
        <w:rPr>
          <w:rFonts w:ascii="Titillium Web" w:hAnsi="Titillium Web" w:cs="Arial"/>
          <w:bCs/>
        </w:rPr>
        <w:t>A határidőn túli befizetés vagy nem fizetés miatt késedelmi pótlékot kell fizetni.</w:t>
      </w:r>
    </w:p>
    <w:p w14:paraId="629890BD" w14:textId="641AD136" w:rsidR="005D54B5" w:rsidRPr="008A069C" w:rsidRDefault="00CA167F" w:rsidP="00404D7E">
      <w:pPr>
        <w:pStyle w:val="Listaszerbekezds"/>
        <w:numPr>
          <w:ilvl w:val="1"/>
          <w:numId w:val="2"/>
        </w:numPr>
        <w:autoSpaceDE w:val="0"/>
        <w:autoSpaceDN w:val="0"/>
        <w:adjustRightInd w:val="0"/>
        <w:spacing w:after="120" w:line="240" w:lineRule="auto"/>
        <w:ind w:left="1077"/>
        <w:contextualSpacing w:val="0"/>
        <w:jc w:val="both"/>
        <w:rPr>
          <w:rFonts w:ascii="Titillium Web" w:hAnsi="Titillium Web" w:cs="Arial"/>
          <w:bCs/>
        </w:rPr>
      </w:pPr>
      <w:r w:rsidRPr="00A9253C">
        <w:rPr>
          <w:rFonts w:ascii="Titillium Web" w:hAnsi="Titillium Web" w:cs="LiberationSerif"/>
          <w:kern w:val="0"/>
        </w:rPr>
        <w:t xml:space="preserve">A </w:t>
      </w:r>
      <w:r w:rsidR="001034C5" w:rsidRPr="00A9253C">
        <w:rPr>
          <w:rFonts w:ascii="Titillium Web" w:hAnsi="Titillium Web" w:cs="LiberationSerif"/>
          <w:kern w:val="0"/>
        </w:rPr>
        <w:t>telek</w:t>
      </w:r>
      <w:r w:rsidRPr="00A9253C">
        <w:rPr>
          <w:rFonts w:ascii="Titillium Web" w:hAnsi="Titillium Web" w:cs="LiberationSerif"/>
          <w:kern w:val="0"/>
        </w:rPr>
        <w:t>adó befizetés</w:t>
      </w:r>
      <w:r w:rsidR="005D54B5" w:rsidRPr="00A9253C">
        <w:rPr>
          <w:rFonts w:ascii="Titillium Web" w:hAnsi="Titillium Web" w:cs="LiberationSerif"/>
          <w:kern w:val="0"/>
        </w:rPr>
        <w:t>e</w:t>
      </w:r>
      <w:r w:rsidRPr="00A9253C">
        <w:rPr>
          <w:rFonts w:ascii="Titillium Web" w:hAnsi="Titillium Web" w:cs="LiberationSerif"/>
          <w:kern w:val="0"/>
        </w:rPr>
        <w:t xml:space="preserve"> Budapest Főváros IX. kerület Ferencváros Önkormányzata </w:t>
      </w:r>
      <w:r w:rsidR="001034C5" w:rsidRPr="00A9253C">
        <w:rPr>
          <w:rFonts w:ascii="Titillium Web" w:hAnsi="Titillium Web" w:cs="LiberationSerif"/>
          <w:kern w:val="0"/>
        </w:rPr>
        <w:t>telek</w:t>
      </w:r>
      <w:r w:rsidRPr="00A9253C">
        <w:rPr>
          <w:rFonts w:ascii="Titillium Web" w:hAnsi="Titillium Web" w:cs="LiberationSerif"/>
          <w:kern w:val="0"/>
        </w:rPr>
        <w:t>adó számlájára (10401196-0002899</w:t>
      </w:r>
      <w:r w:rsidR="001034C5" w:rsidRPr="00A9253C">
        <w:rPr>
          <w:rFonts w:ascii="Titillium Web" w:hAnsi="Titillium Web" w:cs="LiberationSerif"/>
          <w:kern w:val="0"/>
        </w:rPr>
        <w:t>4</w:t>
      </w:r>
      <w:r w:rsidRPr="00A9253C">
        <w:rPr>
          <w:rFonts w:ascii="Titillium Web" w:hAnsi="Titillium Web" w:cs="LiberationSerif"/>
          <w:kern w:val="0"/>
        </w:rPr>
        <w:t>-0000000</w:t>
      </w:r>
      <w:r w:rsidR="001034C5" w:rsidRPr="00A9253C">
        <w:rPr>
          <w:rFonts w:ascii="Titillium Web" w:hAnsi="Titillium Web" w:cs="LiberationSerif"/>
          <w:kern w:val="0"/>
        </w:rPr>
        <w:t>2</w:t>
      </w:r>
      <w:r w:rsidRPr="00A9253C">
        <w:rPr>
          <w:rFonts w:ascii="Titillium Web" w:hAnsi="Titillium Web" w:cs="LiberationSerif"/>
          <w:kern w:val="0"/>
        </w:rPr>
        <w:t>) történő utalással teljesíthet</w:t>
      </w:r>
      <w:r w:rsidR="005D54B5" w:rsidRPr="00A9253C">
        <w:rPr>
          <w:rFonts w:ascii="Titillium Web" w:hAnsi="Titillium Web" w:cs="LiberationSerif"/>
          <w:kern w:val="0"/>
        </w:rPr>
        <w:t>ő</w:t>
      </w:r>
      <w:r w:rsidRPr="00A9253C">
        <w:rPr>
          <w:rFonts w:ascii="Titillium Web" w:hAnsi="Titillium Web" w:cs="LiberationSerif"/>
          <w:kern w:val="0"/>
        </w:rPr>
        <w:t>.</w:t>
      </w:r>
      <w:r w:rsidR="00416991" w:rsidRPr="00A9253C">
        <w:rPr>
          <w:rFonts w:ascii="Titillium Web" w:hAnsi="Titillium Web" w:cs="LiberationSerif"/>
          <w:kern w:val="0"/>
        </w:rPr>
        <w:t xml:space="preserve"> </w:t>
      </w:r>
      <w:r w:rsidR="00416991" w:rsidRPr="00A9253C">
        <w:rPr>
          <w:rFonts w:ascii="Titillium Web" w:hAnsi="Titillium Web" w:cs="Arial"/>
          <w:bCs/>
        </w:rPr>
        <w:t xml:space="preserve">A közleményben </w:t>
      </w:r>
      <w:r w:rsidR="00213E14">
        <w:rPr>
          <w:rFonts w:ascii="Titillium Web" w:hAnsi="Titillium Web" w:cs="Arial"/>
          <w:bCs/>
        </w:rPr>
        <w:t xml:space="preserve">kérjük megadni </w:t>
      </w:r>
      <w:r w:rsidR="00416991" w:rsidRPr="00A9253C">
        <w:rPr>
          <w:rFonts w:ascii="Titillium Web" w:hAnsi="Titillium Web" w:cs="Arial"/>
          <w:bCs/>
        </w:rPr>
        <w:t xml:space="preserve">az adószámot/adóazonosító </w:t>
      </w:r>
      <w:r w:rsidR="00416991" w:rsidRPr="008A069C">
        <w:rPr>
          <w:rFonts w:ascii="Titillium Web" w:hAnsi="Titillium Web" w:cs="Arial"/>
          <w:bCs/>
        </w:rPr>
        <w:t>jelet/mutatószámot.</w:t>
      </w:r>
    </w:p>
    <w:p w14:paraId="14FEC71F" w14:textId="6BAA9541" w:rsidR="000A552F" w:rsidRPr="00A9253C" w:rsidRDefault="000A552F" w:rsidP="00213E14">
      <w:pPr>
        <w:pStyle w:val="NormlWeb"/>
        <w:numPr>
          <w:ilvl w:val="0"/>
          <w:numId w:val="2"/>
        </w:numPr>
        <w:shd w:val="clear" w:color="auto" w:fill="FFFFFF"/>
        <w:tabs>
          <w:tab w:val="left" w:pos="426"/>
        </w:tabs>
        <w:spacing w:before="0" w:beforeAutospacing="0" w:after="120" w:afterAutospacing="0"/>
        <w:ind w:left="0" w:firstLine="0"/>
        <w:rPr>
          <w:rStyle w:val="Kiemels2"/>
          <w:rFonts w:ascii="Titillium Web" w:eastAsiaTheme="minorHAnsi" w:hAnsi="Titillium Web"/>
          <w:bCs w:val="0"/>
          <w:bdr w:val="none" w:sz="0" w:space="0" w:color="auto" w:frame="1"/>
          <w:lang w:eastAsia="en-US"/>
        </w:rPr>
      </w:pPr>
      <w:r w:rsidRPr="00A9253C">
        <w:rPr>
          <w:rStyle w:val="Kiemels2"/>
          <w:rFonts w:ascii="Titillium Web" w:eastAsiaTheme="minorHAnsi" w:hAnsi="Titillium Web"/>
          <w:bCs w:val="0"/>
          <w:bdr w:val="none" w:sz="0" w:space="0" w:color="auto" w:frame="1"/>
          <w:lang w:eastAsia="en-US"/>
        </w:rPr>
        <w:t>Eljárási szabályok</w:t>
      </w:r>
    </w:p>
    <w:p w14:paraId="3298C366" w14:textId="77777777" w:rsidR="00416991" w:rsidRPr="00A9253C" w:rsidRDefault="000A552F" w:rsidP="006A0B99">
      <w:pPr>
        <w:pStyle w:val="NormlWeb"/>
        <w:shd w:val="clear" w:color="auto" w:fill="FFFFFF"/>
        <w:spacing w:before="0" w:beforeAutospacing="0" w:after="120" w:afterAutospacing="0"/>
        <w:ind w:left="709"/>
        <w:jc w:val="both"/>
        <w:rPr>
          <w:rStyle w:val="Kiemels2"/>
          <w:rFonts w:ascii="Titillium Web" w:eastAsiaTheme="minorHAnsi" w:hAnsi="Titillium Web"/>
          <w:b w:val="0"/>
          <w:bdr w:val="none" w:sz="0" w:space="0" w:color="auto" w:frame="1"/>
          <w:lang w:eastAsia="en-US"/>
        </w:rPr>
      </w:pPr>
      <w:r w:rsidRPr="00A9253C">
        <w:rPr>
          <w:rStyle w:val="Kiemels2"/>
          <w:rFonts w:ascii="Titillium Web" w:eastAsiaTheme="minorHAnsi" w:hAnsi="Titillium Web"/>
          <w:b w:val="0"/>
          <w:bdr w:val="none" w:sz="0" w:space="0" w:color="auto" w:frame="1"/>
          <w:lang w:eastAsia="en-US"/>
        </w:rPr>
        <w:t xml:space="preserve">Az adatbejelentésre kötelezett adózó az adóalapról, annak négyzetméterben kifejezett területéről két tizedesjegy pontossággal, az általános kerekítés szabályai szerint tesz adatbejelentést. </w:t>
      </w:r>
    </w:p>
    <w:p w14:paraId="0B7E4A75" w14:textId="77777777" w:rsidR="00FE7BA2" w:rsidRPr="00A9253C" w:rsidRDefault="00FE7BA2" w:rsidP="00255013">
      <w:pPr>
        <w:pStyle w:val="NormlWeb"/>
        <w:numPr>
          <w:ilvl w:val="0"/>
          <w:numId w:val="2"/>
        </w:numPr>
        <w:shd w:val="clear" w:color="auto" w:fill="FFFFFF"/>
        <w:tabs>
          <w:tab w:val="left" w:pos="426"/>
        </w:tabs>
        <w:spacing w:before="0" w:beforeAutospacing="0" w:after="120" w:afterAutospacing="0"/>
        <w:ind w:left="0" w:firstLine="0"/>
        <w:rPr>
          <w:rStyle w:val="Kiemels2"/>
          <w:rFonts w:ascii="Titillium Web" w:eastAsiaTheme="minorHAnsi" w:hAnsi="Titillium Web"/>
          <w:bCs w:val="0"/>
          <w:bdr w:val="none" w:sz="0" w:space="0" w:color="auto" w:frame="1"/>
          <w:lang w:eastAsia="en-US"/>
        </w:rPr>
      </w:pPr>
      <w:r w:rsidRPr="00A9253C">
        <w:rPr>
          <w:rStyle w:val="Kiemels2"/>
          <w:rFonts w:ascii="Titillium Web" w:eastAsiaTheme="minorHAnsi" w:hAnsi="Titillium Web"/>
          <w:bCs w:val="0"/>
          <w:bdr w:val="none" w:sz="0" w:space="0" w:color="auto" w:frame="1"/>
          <w:lang w:eastAsia="en-US"/>
        </w:rPr>
        <w:t>Bővebb információ</w:t>
      </w:r>
    </w:p>
    <w:p w14:paraId="68607E30" w14:textId="54E277C1" w:rsidR="001A278C" w:rsidRPr="00A9253C" w:rsidRDefault="001A278C" w:rsidP="00A46F53">
      <w:pPr>
        <w:pStyle w:val="NormlWeb"/>
        <w:shd w:val="clear" w:color="auto" w:fill="FFFFFF"/>
        <w:spacing w:before="0" w:beforeAutospacing="0" w:after="120" w:afterAutospacing="0"/>
        <w:ind w:left="709"/>
        <w:jc w:val="both"/>
        <w:rPr>
          <w:rFonts w:ascii="Titillium Web" w:hAnsi="Titillium Web" w:cs="Arial"/>
        </w:rPr>
      </w:pPr>
      <w:r w:rsidRPr="00A9253C">
        <w:rPr>
          <w:rFonts w:ascii="Titillium Web" w:hAnsi="Titillium Web" w:cs="Arial"/>
        </w:rPr>
        <w:t>Ha az E-Önkormányzat Portálon (</w:t>
      </w:r>
      <w:hyperlink r:id="rId10" w:history="1">
        <w:r w:rsidRPr="00A9253C">
          <w:rPr>
            <w:rStyle w:val="Hiperhivatkozs"/>
            <w:rFonts w:ascii="Titillium Web" w:hAnsi="Titillium Web" w:cs="Arial"/>
          </w:rPr>
          <w:t>E-Önkormányzat Portál</w:t>
        </w:r>
      </w:hyperlink>
      <w:r w:rsidRPr="00A9253C">
        <w:rPr>
          <w:rFonts w:ascii="Titillium Web" w:hAnsi="Titillium Web" w:cs="Arial"/>
        </w:rPr>
        <w:t xml:space="preserve">), illetőleg az önkormányzat honlapján </w:t>
      </w:r>
      <w:r w:rsidRPr="00A9253C">
        <w:rPr>
          <w:rFonts w:ascii="Titillium Web" w:hAnsi="Titillium Web" w:cs="Arial"/>
          <w:bCs/>
        </w:rPr>
        <w:t>(</w:t>
      </w:r>
      <w:hyperlink r:id="rId11" w:history="1">
        <w:r w:rsidRPr="00A9253C">
          <w:rPr>
            <w:rStyle w:val="Hiperhivatkozs"/>
            <w:rFonts w:ascii="Titillium Web" w:hAnsi="Titillium Web" w:cs="Arial"/>
            <w:bCs/>
          </w:rPr>
          <w:t>ferencvaros.hu</w:t>
        </w:r>
      </w:hyperlink>
      <w:r w:rsidRPr="00A9253C">
        <w:rPr>
          <w:rFonts w:ascii="Titillium Web" w:hAnsi="Titillium Web" w:cs="Arial"/>
          <w:bCs/>
        </w:rPr>
        <w:t>)</w:t>
      </w:r>
      <w:r w:rsidRPr="00A9253C">
        <w:rPr>
          <w:rFonts w:ascii="Titillium Web" w:hAnsi="Titillium Web" w:cs="Arial"/>
        </w:rPr>
        <w:t xml:space="preserve"> elérhető információkon túl segítségre van szüksége</w:t>
      </w:r>
      <w:r w:rsidR="00A46F53" w:rsidRPr="00A9253C">
        <w:rPr>
          <w:rFonts w:ascii="Titillium Web" w:hAnsi="Titillium Web" w:cs="Arial"/>
        </w:rPr>
        <w:t xml:space="preserve"> </w:t>
      </w:r>
      <w:r w:rsidRPr="00A9253C">
        <w:rPr>
          <w:rFonts w:ascii="Titillium Web" w:hAnsi="Titillium Web" w:cs="Arial"/>
          <w:b/>
          <w:bCs/>
        </w:rPr>
        <w:t>személyesen</w:t>
      </w:r>
      <w:r w:rsidRPr="00A9253C">
        <w:rPr>
          <w:rFonts w:ascii="Titillium Web" w:hAnsi="Titillium Web" w:cs="Arial"/>
        </w:rPr>
        <w:t xml:space="preserve"> (ügyfélfogadási időben: hétfő 13:00-17:30, szerda 8:00-16:00, péntek 8:00-12:00, az Adóhatósági Csoport hivatali helyiségében: 1093 Budapest, Bakáts u. 8. szám alatt a földszinti irodában) vagy </w:t>
      </w:r>
      <w:r w:rsidRPr="00A9253C">
        <w:rPr>
          <w:rFonts w:ascii="Titillium Web" w:hAnsi="Titillium Web" w:cs="Arial"/>
          <w:b/>
          <w:bCs/>
        </w:rPr>
        <w:t>telefonon</w:t>
      </w:r>
      <w:r w:rsidRPr="00A9253C">
        <w:rPr>
          <w:rFonts w:ascii="Titillium Web" w:hAnsi="Titillium Web" w:cs="Arial"/>
        </w:rPr>
        <w:t xml:space="preserve"> (36 1 215-1077/</w:t>
      </w:r>
      <w:r w:rsidR="00A46F53" w:rsidRPr="00A9253C">
        <w:rPr>
          <w:rFonts w:ascii="Titillium Web" w:hAnsi="Titillium Web" w:cs="Arial"/>
        </w:rPr>
        <w:t>425, 433, 434, 435, 436)</w:t>
      </w:r>
      <w:r w:rsidRPr="00A9253C">
        <w:rPr>
          <w:rFonts w:ascii="Titillium Web" w:hAnsi="Titillium Web" w:cs="Arial"/>
        </w:rPr>
        <w:t xml:space="preserve"> is állunk rendelkezésre.</w:t>
      </w:r>
    </w:p>
    <w:p w14:paraId="6D0FDCF4" w14:textId="77777777" w:rsidR="00FE7BA2" w:rsidRPr="00A9253C" w:rsidRDefault="00FE7BA2" w:rsidP="00255013">
      <w:pPr>
        <w:pStyle w:val="NormlWeb"/>
        <w:numPr>
          <w:ilvl w:val="0"/>
          <w:numId w:val="2"/>
        </w:numPr>
        <w:shd w:val="clear" w:color="auto" w:fill="FFFFFF"/>
        <w:tabs>
          <w:tab w:val="left" w:pos="426"/>
        </w:tabs>
        <w:spacing w:before="0" w:beforeAutospacing="0" w:after="120" w:afterAutospacing="0"/>
        <w:ind w:left="0" w:firstLine="0"/>
        <w:rPr>
          <w:rStyle w:val="Kiemels2"/>
          <w:rFonts w:ascii="Titillium Web" w:eastAsiaTheme="minorHAnsi" w:hAnsi="Titillium Web"/>
          <w:bCs w:val="0"/>
          <w:bdr w:val="none" w:sz="0" w:space="0" w:color="auto" w:frame="1"/>
          <w:lang w:eastAsia="en-US"/>
        </w:rPr>
      </w:pPr>
      <w:r w:rsidRPr="00A9253C">
        <w:rPr>
          <w:rStyle w:val="Kiemels2"/>
          <w:rFonts w:ascii="Titillium Web" w:eastAsiaTheme="minorHAnsi" w:hAnsi="Titillium Web"/>
          <w:bCs w:val="0"/>
          <w:bdr w:val="none" w:sz="0" w:space="0" w:color="auto" w:frame="1"/>
          <w:lang w:eastAsia="en-US"/>
        </w:rPr>
        <w:t>Vonatkozó jogszabályok</w:t>
      </w:r>
    </w:p>
    <w:p w14:paraId="67CD32E9" w14:textId="77777777" w:rsidR="00416991" w:rsidRPr="00A9253C" w:rsidRDefault="00A46F53" w:rsidP="00093907">
      <w:pPr>
        <w:pStyle w:val="Listaszerbekezds"/>
        <w:numPr>
          <w:ilvl w:val="1"/>
          <w:numId w:val="2"/>
        </w:numPr>
        <w:autoSpaceDE w:val="0"/>
        <w:autoSpaceDN w:val="0"/>
        <w:adjustRightInd w:val="0"/>
        <w:spacing w:after="120" w:line="240" w:lineRule="auto"/>
        <w:ind w:left="1077"/>
        <w:contextualSpacing w:val="0"/>
        <w:jc w:val="both"/>
        <w:rPr>
          <w:rFonts w:ascii="Titillium Web" w:hAnsi="Titillium Web" w:cs="Arial"/>
          <w:bCs/>
        </w:rPr>
      </w:pPr>
      <w:r w:rsidRPr="00A9253C">
        <w:rPr>
          <w:rFonts w:ascii="Titillium Web" w:hAnsi="Titillium Web" w:cs="Arial"/>
          <w:bCs/>
        </w:rPr>
        <w:t>a Polgári Törvénykönyvről szóló 2013. évi V. törvény (Ptk.)</w:t>
      </w:r>
    </w:p>
    <w:p w14:paraId="2DC242F9" w14:textId="77777777" w:rsidR="00416991" w:rsidRPr="00A9253C" w:rsidRDefault="00A46F53" w:rsidP="00093907">
      <w:pPr>
        <w:pStyle w:val="Listaszerbekezds"/>
        <w:numPr>
          <w:ilvl w:val="1"/>
          <w:numId w:val="2"/>
        </w:numPr>
        <w:autoSpaceDE w:val="0"/>
        <w:autoSpaceDN w:val="0"/>
        <w:adjustRightInd w:val="0"/>
        <w:spacing w:after="120" w:line="240" w:lineRule="auto"/>
        <w:ind w:left="1077"/>
        <w:contextualSpacing w:val="0"/>
        <w:jc w:val="both"/>
        <w:rPr>
          <w:rFonts w:ascii="Titillium Web" w:hAnsi="Titillium Web" w:cs="Arial"/>
          <w:bCs/>
        </w:rPr>
      </w:pPr>
      <w:r w:rsidRPr="00A9253C">
        <w:rPr>
          <w:rFonts w:ascii="Titillium Web" w:hAnsi="Titillium Web" w:cs="Arial"/>
          <w:bCs/>
        </w:rPr>
        <w:t>a digitális államról és a digitális szolgáltatások nyújtásának egyes szabályairól szóló 2023. évi CIII. törvény (</w:t>
      </w:r>
      <w:proofErr w:type="spellStart"/>
      <w:r w:rsidRPr="00A9253C">
        <w:rPr>
          <w:rFonts w:ascii="Titillium Web" w:hAnsi="Titillium Web" w:cs="Arial"/>
          <w:bCs/>
        </w:rPr>
        <w:t>Dáptv</w:t>
      </w:r>
      <w:proofErr w:type="spellEnd"/>
      <w:r w:rsidRPr="00A9253C">
        <w:rPr>
          <w:rFonts w:ascii="Titillium Web" w:hAnsi="Titillium Web" w:cs="Arial"/>
          <w:bCs/>
        </w:rPr>
        <w:t>.)</w:t>
      </w:r>
    </w:p>
    <w:p w14:paraId="09BF07B6" w14:textId="77777777" w:rsidR="00416991" w:rsidRPr="00A9253C" w:rsidRDefault="00A46F53" w:rsidP="00093907">
      <w:pPr>
        <w:pStyle w:val="Listaszerbekezds"/>
        <w:numPr>
          <w:ilvl w:val="1"/>
          <w:numId w:val="2"/>
        </w:numPr>
        <w:autoSpaceDE w:val="0"/>
        <w:autoSpaceDN w:val="0"/>
        <w:adjustRightInd w:val="0"/>
        <w:spacing w:after="120" w:line="240" w:lineRule="auto"/>
        <w:ind w:left="1077"/>
        <w:contextualSpacing w:val="0"/>
        <w:jc w:val="both"/>
        <w:rPr>
          <w:rFonts w:ascii="Titillium Web" w:hAnsi="Titillium Web" w:cs="Arial"/>
          <w:bCs/>
        </w:rPr>
      </w:pPr>
      <w:r w:rsidRPr="00A9253C">
        <w:rPr>
          <w:rFonts w:ascii="Titillium Web" w:hAnsi="Titillium Web" w:cs="Arial"/>
          <w:bCs/>
        </w:rPr>
        <w:t>az adózás rendjéről szóló 2017. évi CL. törvény (Art.)</w:t>
      </w:r>
    </w:p>
    <w:p w14:paraId="0C0C0BEA" w14:textId="77777777" w:rsidR="00416991" w:rsidRPr="00A9253C" w:rsidRDefault="000A552F" w:rsidP="00093907">
      <w:pPr>
        <w:pStyle w:val="Listaszerbekezds"/>
        <w:numPr>
          <w:ilvl w:val="1"/>
          <w:numId w:val="2"/>
        </w:numPr>
        <w:autoSpaceDE w:val="0"/>
        <w:autoSpaceDN w:val="0"/>
        <w:adjustRightInd w:val="0"/>
        <w:spacing w:after="120" w:line="240" w:lineRule="auto"/>
        <w:ind w:left="1077"/>
        <w:contextualSpacing w:val="0"/>
        <w:jc w:val="both"/>
        <w:rPr>
          <w:rFonts w:ascii="Titillium Web" w:hAnsi="Titillium Web" w:cs="Arial"/>
          <w:bCs/>
        </w:rPr>
      </w:pPr>
      <w:r w:rsidRPr="00A9253C">
        <w:rPr>
          <w:rFonts w:ascii="Titillium Web" w:hAnsi="Titillium Web" w:cs="Arial"/>
          <w:bCs/>
        </w:rPr>
        <w:t>az adóigazgatási rendtartásról szóló 2017. évi CLI. törvény (Air.)</w:t>
      </w:r>
    </w:p>
    <w:p w14:paraId="7DA459BF" w14:textId="77777777" w:rsidR="00416991" w:rsidRPr="00A9253C" w:rsidRDefault="00A46F53" w:rsidP="00093907">
      <w:pPr>
        <w:pStyle w:val="Listaszerbekezds"/>
        <w:numPr>
          <w:ilvl w:val="1"/>
          <w:numId w:val="2"/>
        </w:numPr>
        <w:autoSpaceDE w:val="0"/>
        <w:autoSpaceDN w:val="0"/>
        <w:adjustRightInd w:val="0"/>
        <w:spacing w:after="120" w:line="240" w:lineRule="auto"/>
        <w:ind w:left="1077"/>
        <w:contextualSpacing w:val="0"/>
        <w:jc w:val="both"/>
        <w:rPr>
          <w:rFonts w:ascii="Titillium Web" w:hAnsi="Titillium Web" w:cs="Arial"/>
          <w:bCs/>
        </w:rPr>
      </w:pPr>
      <w:r w:rsidRPr="00A9253C">
        <w:rPr>
          <w:rFonts w:ascii="Titillium Web" w:hAnsi="Titillium Web" w:cs="Arial"/>
          <w:bCs/>
        </w:rPr>
        <w:t>a helyi adókról szóló 1990. évi C. törvény (</w:t>
      </w:r>
      <w:proofErr w:type="spellStart"/>
      <w:r w:rsidRPr="00A9253C">
        <w:rPr>
          <w:rFonts w:ascii="Titillium Web" w:hAnsi="Titillium Web" w:cs="Arial"/>
          <w:bCs/>
        </w:rPr>
        <w:t>Htv</w:t>
      </w:r>
      <w:proofErr w:type="spellEnd"/>
      <w:r w:rsidRPr="00A9253C">
        <w:rPr>
          <w:rFonts w:ascii="Titillium Web" w:hAnsi="Titillium Web" w:cs="Arial"/>
          <w:bCs/>
        </w:rPr>
        <w:t xml:space="preserve">.) </w:t>
      </w:r>
    </w:p>
    <w:p w14:paraId="149C6F35" w14:textId="4456467F" w:rsidR="00FE7BA2" w:rsidRPr="00A9253C" w:rsidRDefault="00A46F53" w:rsidP="00093907">
      <w:pPr>
        <w:pStyle w:val="Listaszerbekezds"/>
        <w:numPr>
          <w:ilvl w:val="1"/>
          <w:numId w:val="2"/>
        </w:numPr>
        <w:autoSpaceDE w:val="0"/>
        <w:autoSpaceDN w:val="0"/>
        <w:adjustRightInd w:val="0"/>
        <w:spacing w:after="120" w:line="240" w:lineRule="auto"/>
        <w:ind w:left="1077"/>
        <w:contextualSpacing w:val="0"/>
        <w:jc w:val="both"/>
        <w:rPr>
          <w:rFonts w:ascii="Titillium Web" w:hAnsi="Titillium Web" w:cs="Arial"/>
          <w:bCs/>
        </w:rPr>
      </w:pPr>
      <w:r w:rsidRPr="00A9253C">
        <w:rPr>
          <w:rFonts w:ascii="Titillium Web" w:hAnsi="Titillium Web" w:cs="Arial"/>
          <w:bCs/>
        </w:rPr>
        <w:lastRenderedPageBreak/>
        <w:t>a Budapest Főváros IX. kerület Ferencváros Önkormányzata Képviselő testületének a</w:t>
      </w:r>
      <w:r w:rsidR="00AA27C2" w:rsidRPr="00A9253C">
        <w:rPr>
          <w:rFonts w:ascii="Titillium Web" w:hAnsi="Titillium Web" w:cs="Arial"/>
          <w:bCs/>
        </w:rPr>
        <w:t xml:space="preserve"> telek</w:t>
      </w:r>
      <w:r w:rsidRPr="00A9253C">
        <w:rPr>
          <w:rFonts w:ascii="Titillium Web" w:hAnsi="Titillium Web" w:cs="Arial"/>
          <w:bCs/>
        </w:rPr>
        <w:t>adóról szóló 2</w:t>
      </w:r>
      <w:r w:rsidR="00AA27C2" w:rsidRPr="00A9253C">
        <w:rPr>
          <w:rFonts w:ascii="Titillium Web" w:hAnsi="Titillium Web" w:cs="Arial"/>
          <w:bCs/>
        </w:rPr>
        <w:t>4</w:t>
      </w:r>
      <w:r w:rsidRPr="00A9253C">
        <w:rPr>
          <w:rFonts w:ascii="Titillium Web" w:hAnsi="Titillium Web" w:cs="Arial"/>
          <w:bCs/>
        </w:rPr>
        <w:t>/2025. (XI. 13.) önkormányzati rendelete</w:t>
      </w:r>
    </w:p>
    <w:sectPr w:rsidR="00FE7BA2" w:rsidRPr="00A9253C" w:rsidSect="006A0B9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8" w:right="1417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3FD3B0" w14:textId="77777777" w:rsidR="00967E89" w:rsidRDefault="00967E89" w:rsidP="009C7AC2">
      <w:pPr>
        <w:spacing w:after="0" w:line="240" w:lineRule="auto"/>
      </w:pPr>
      <w:r>
        <w:separator/>
      </w:r>
    </w:p>
  </w:endnote>
  <w:endnote w:type="continuationSeparator" w:id="0">
    <w:p w14:paraId="5988803B" w14:textId="77777777" w:rsidR="00967E89" w:rsidRDefault="00967E89" w:rsidP="009C7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tillium Web">
    <w:charset w:val="EE"/>
    <w:family w:val="auto"/>
    <w:pitch w:val="variable"/>
    <w:sig w:usb0="00000007" w:usb1="00000001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Serif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83586" w14:textId="77777777" w:rsidR="009C7AC2" w:rsidRDefault="009C7AC2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tillium Web" w:hAnsi="Titillium Web"/>
      </w:rPr>
      <w:id w:val="-521322703"/>
      <w:docPartObj>
        <w:docPartGallery w:val="Page Numbers (Bottom of Page)"/>
        <w:docPartUnique/>
      </w:docPartObj>
    </w:sdtPr>
    <w:sdtEndPr/>
    <w:sdtContent>
      <w:p w14:paraId="482EAC8A" w14:textId="48E6A8F5" w:rsidR="009C7AC2" w:rsidRPr="009C7AC2" w:rsidRDefault="009C7AC2" w:rsidP="009C7AC2">
        <w:pPr>
          <w:pStyle w:val="llb"/>
          <w:jc w:val="right"/>
          <w:rPr>
            <w:rFonts w:ascii="Titillium Web" w:hAnsi="Titillium Web"/>
          </w:rPr>
        </w:pPr>
        <w:r w:rsidRPr="009C7AC2">
          <w:rPr>
            <w:rFonts w:ascii="Titillium Web" w:hAnsi="Titillium Web"/>
          </w:rPr>
          <w:fldChar w:fldCharType="begin"/>
        </w:r>
        <w:r w:rsidRPr="009C7AC2">
          <w:rPr>
            <w:rFonts w:ascii="Titillium Web" w:hAnsi="Titillium Web"/>
          </w:rPr>
          <w:instrText>PAGE   \* MERGEFORMAT</w:instrText>
        </w:r>
        <w:r w:rsidRPr="009C7AC2">
          <w:rPr>
            <w:rFonts w:ascii="Titillium Web" w:hAnsi="Titillium Web"/>
          </w:rPr>
          <w:fldChar w:fldCharType="separate"/>
        </w:r>
        <w:r w:rsidRPr="009C7AC2">
          <w:rPr>
            <w:rFonts w:ascii="Titillium Web" w:hAnsi="Titillium Web"/>
          </w:rPr>
          <w:t>2</w:t>
        </w:r>
        <w:r w:rsidRPr="009C7AC2">
          <w:rPr>
            <w:rFonts w:ascii="Titillium Web" w:hAnsi="Titillium Web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351C5" w14:textId="77777777" w:rsidR="009C7AC2" w:rsidRDefault="009C7AC2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12F5E" w14:textId="77777777" w:rsidR="00967E89" w:rsidRDefault="00967E89" w:rsidP="009C7AC2">
      <w:pPr>
        <w:spacing w:after="0" w:line="240" w:lineRule="auto"/>
      </w:pPr>
      <w:r>
        <w:separator/>
      </w:r>
    </w:p>
  </w:footnote>
  <w:footnote w:type="continuationSeparator" w:id="0">
    <w:p w14:paraId="282B5DAD" w14:textId="77777777" w:rsidR="00967E89" w:rsidRDefault="00967E89" w:rsidP="009C7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10064" w14:textId="77777777" w:rsidR="009C7AC2" w:rsidRDefault="009C7AC2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59CA7" w14:textId="77777777" w:rsidR="009C7AC2" w:rsidRDefault="009C7AC2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7A6F7" w14:textId="77777777" w:rsidR="009C7AC2" w:rsidRDefault="009C7AC2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15F84"/>
    <w:multiLevelType w:val="multilevel"/>
    <w:tmpl w:val="151C5B5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i/>
        <w:i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  <w:bCs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80C3A7E"/>
    <w:multiLevelType w:val="multilevel"/>
    <w:tmpl w:val="56289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A55557"/>
    <w:multiLevelType w:val="multilevel"/>
    <w:tmpl w:val="D5768DD0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tillium Web" w:hAnsi="Titillium Web" w:hint="default"/>
        <w:b/>
        <w:bCs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  <w:bCs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4671BC3"/>
    <w:multiLevelType w:val="multilevel"/>
    <w:tmpl w:val="67A8F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900B48"/>
    <w:multiLevelType w:val="multilevel"/>
    <w:tmpl w:val="7FE27C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586D0CE3"/>
    <w:multiLevelType w:val="hybridMultilevel"/>
    <w:tmpl w:val="13146332"/>
    <w:lvl w:ilvl="0" w:tplc="5FDE4504">
      <w:start w:val="1"/>
      <w:numFmt w:val="bullet"/>
      <w:lvlText w:val="−"/>
      <w:lvlJc w:val="left"/>
      <w:pPr>
        <w:ind w:left="1276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36" w:hanging="360"/>
      </w:pPr>
      <w:rPr>
        <w:rFonts w:ascii="Wingdings" w:hAnsi="Wingdings" w:hint="default"/>
      </w:rPr>
    </w:lvl>
  </w:abstractNum>
  <w:abstractNum w:abstractNumId="6" w15:restartNumberingAfterBreak="0">
    <w:nsid w:val="60100622"/>
    <w:multiLevelType w:val="multilevel"/>
    <w:tmpl w:val="32EE41A8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tillium Web" w:hAnsi="Titillium Web" w:hint="default"/>
        <w:b/>
        <w:bCs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60E33E8A"/>
    <w:multiLevelType w:val="multilevel"/>
    <w:tmpl w:val="7FE27C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67F02F7B"/>
    <w:multiLevelType w:val="hybridMultilevel"/>
    <w:tmpl w:val="A928E35E"/>
    <w:lvl w:ilvl="0" w:tplc="040E000F">
      <w:start w:val="1"/>
      <w:numFmt w:val="decimal"/>
      <w:lvlText w:val="%1."/>
      <w:lvlJc w:val="left"/>
      <w:pPr>
        <w:ind w:left="2160" w:hanging="360"/>
      </w:pPr>
    </w:lvl>
    <w:lvl w:ilvl="1" w:tplc="040E0019">
      <w:start w:val="1"/>
      <w:numFmt w:val="lowerLetter"/>
      <w:lvlText w:val="%2."/>
      <w:lvlJc w:val="left"/>
      <w:pPr>
        <w:ind w:left="2880" w:hanging="360"/>
      </w:pPr>
    </w:lvl>
    <w:lvl w:ilvl="2" w:tplc="040E001B">
      <w:start w:val="1"/>
      <w:numFmt w:val="lowerRoman"/>
      <w:lvlText w:val="%3."/>
      <w:lvlJc w:val="right"/>
      <w:pPr>
        <w:ind w:left="3600" w:hanging="180"/>
      </w:pPr>
    </w:lvl>
    <w:lvl w:ilvl="3" w:tplc="040E000F">
      <w:start w:val="1"/>
      <w:numFmt w:val="decimal"/>
      <w:lvlText w:val="%4."/>
      <w:lvlJc w:val="left"/>
      <w:pPr>
        <w:ind w:left="4320" w:hanging="360"/>
      </w:pPr>
    </w:lvl>
    <w:lvl w:ilvl="4" w:tplc="040E0019">
      <w:start w:val="1"/>
      <w:numFmt w:val="lowerLetter"/>
      <w:lvlText w:val="%5."/>
      <w:lvlJc w:val="left"/>
      <w:pPr>
        <w:ind w:left="5040" w:hanging="360"/>
      </w:pPr>
    </w:lvl>
    <w:lvl w:ilvl="5" w:tplc="040E001B">
      <w:start w:val="1"/>
      <w:numFmt w:val="lowerRoman"/>
      <w:lvlText w:val="%6."/>
      <w:lvlJc w:val="right"/>
      <w:pPr>
        <w:ind w:left="5760" w:hanging="180"/>
      </w:pPr>
    </w:lvl>
    <w:lvl w:ilvl="6" w:tplc="040E000F">
      <w:start w:val="1"/>
      <w:numFmt w:val="decimal"/>
      <w:lvlText w:val="%7."/>
      <w:lvlJc w:val="left"/>
      <w:pPr>
        <w:ind w:left="6480" w:hanging="360"/>
      </w:pPr>
    </w:lvl>
    <w:lvl w:ilvl="7" w:tplc="040E0019">
      <w:start w:val="1"/>
      <w:numFmt w:val="lowerLetter"/>
      <w:lvlText w:val="%8."/>
      <w:lvlJc w:val="left"/>
      <w:pPr>
        <w:ind w:left="7200" w:hanging="360"/>
      </w:pPr>
    </w:lvl>
    <w:lvl w:ilvl="8" w:tplc="040E001B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6BBF3FFD"/>
    <w:multiLevelType w:val="hybridMultilevel"/>
    <w:tmpl w:val="288C10E8"/>
    <w:lvl w:ilvl="0" w:tplc="5FDE4504">
      <w:start w:val="1"/>
      <w:numFmt w:val="bullet"/>
      <w:lvlText w:val="−"/>
      <w:lvlJc w:val="left"/>
      <w:pPr>
        <w:ind w:left="1480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10" w15:restartNumberingAfterBreak="0">
    <w:nsid w:val="7B067489"/>
    <w:multiLevelType w:val="multilevel"/>
    <w:tmpl w:val="D65E59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7D545F49"/>
    <w:multiLevelType w:val="hybridMultilevel"/>
    <w:tmpl w:val="9EFCC7C4"/>
    <w:lvl w:ilvl="0" w:tplc="5FDE450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743844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80371752">
    <w:abstractNumId w:val="2"/>
  </w:num>
  <w:num w:numId="3" w16cid:durableId="135100710">
    <w:abstractNumId w:val="10"/>
  </w:num>
  <w:num w:numId="4" w16cid:durableId="1896627125">
    <w:abstractNumId w:val="7"/>
  </w:num>
  <w:num w:numId="5" w16cid:durableId="457916478">
    <w:abstractNumId w:val="4"/>
  </w:num>
  <w:num w:numId="6" w16cid:durableId="1627352211">
    <w:abstractNumId w:val="8"/>
  </w:num>
  <w:num w:numId="7" w16cid:durableId="1645545738">
    <w:abstractNumId w:val="11"/>
  </w:num>
  <w:num w:numId="8" w16cid:durableId="1521775582">
    <w:abstractNumId w:val="3"/>
  </w:num>
  <w:num w:numId="9" w16cid:durableId="139614009">
    <w:abstractNumId w:val="1"/>
  </w:num>
  <w:num w:numId="10" w16cid:durableId="383211938">
    <w:abstractNumId w:val="5"/>
  </w:num>
  <w:num w:numId="11" w16cid:durableId="2018651745">
    <w:abstractNumId w:val="9"/>
  </w:num>
  <w:num w:numId="12" w16cid:durableId="2047169670">
    <w:abstractNumId w:val="6"/>
  </w:num>
  <w:num w:numId="13" w16cid:durableId="5037401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BA2"/>
    <w:rsid w:val="00017CED"/>
    <w:rsid w:val="00093907"/>
    <w:rsid w:val="000A552F"/>
    <w:rsid w:val="000C0FA4"/>
    <w:rsid w:val="000D71B9"/>
    <w:rsid w:val="001034C5"/>
    <w:rsid w:val="001A278C"/>
    <w:rsid w:val="001A3926"/>
    <w:rsid w:val="00213E14"/>
    <w:rsid w:val="00255013"/>
    <w:rsid w:val="002636EE"/>
    <w:rsid w:val="002A538B"/>
    <w:rsid w:val="002B29CC"/>
    <w:rsid w:val="002B6E12"/>
    <w:rsid w:val="002E23EA"/>
    <w:rsid w:val="00383175"/>
    <w:rsid w:val="00386F29"/>
    <w:rsid w:val="0039587D"/>
    <w:rsid w:val="003B1013"/>
    <w:rsid w:val="00404D7E"/>
    <w:rsid w:val="00416991"/>
    <w:rsid w:val="0046452B"/>
    <w:rsid w:val="00472FD2"/>
    <w:rsid w:val="004D3CED"/>
    <w:rsid w:val="005152E4"/>
    <w:rsid w:val="00565BB3"/>
    <w:rsid w:val="005D54B5"/>
    <w:rsid w:val="006340E2"/>
    <w:rsid w:val="00654C4F"/>
    <w:rsid w:val="006A0B99"/>
    <w:rsid w:val="006D761E"/>
    <w:rsid w:val="007446C6"/>
    <w:rsid w:val="007C38E5"/>
    <w:rsid w:val="007C745A"/>
    <w:rsid w:val="007E15B4"/>
    <w:rsid w:val="008629A4"/>
    <w:rsid w:val="008A069C"/>
    <w:rsid w:val="008A5CB5"/>
    <w:rsid w:val="008D376A"/>
    <w:rsid w:val="0093054B"/>
    <w:rsid w:val="00942B91"/>
    <w:rsid w:val="00967E89"/>
    <w:rsid w:val="00990248"/>
    <w:rsid w:val="009C7AC2"/>
    <w:rsid w:val="009E2626"/>
    <w:rsid w:val="00A46F53"/>
    <w:rsid w:val="00A9253C"/>
    <w:rsid w:val="00AA27C2"/>
    <w:rsid w:val="00BF7FF8"/>
    <w:rsid w:val="00C723DF"/>
    <w:rsid w:val="00C940E3"/>
    <w:rsid w:val="00CA167F"/>
    <w:rsid w:val="00DE6E79"/>
    <w:rsid w:val="00E50D46"/>
    <w:rsid w:val="00F52487"/>
    <w:rsid w:val="00F81894"/>
    <w:rsid w:val="00F936B6"/>
    <w:rsid w:val="00FB1F4B"/>
    <w:rsid w:val="00FC2DDF"/>
    <w:rsid w:val="00FE7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A40B9"/>
  <w15:chartTrackingRefBased/>
  <w15:docId w15:val="{8FF31C8D-EBE3-4CD7-A22F-36EA13888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FE7B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E7B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E7B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E7B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E7B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E7B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E7B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E7B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E7B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E7B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E7B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E7B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E7BA2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E7BA2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E7BA2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E7BA2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E7BA2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E7BA2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E7B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FE7B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E7B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FE7B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E7B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FE7BA2"/>
    <w:rPr>
      <w:i/>
      <w:iCs/>
      <w:color w:val="404040" w:themeColor="text1" w:themeTint="BF"/>
    </w:rPr>
  </w:style>
  <w:style w:type="paragraph" w:styleId="Listaszerbekezds">
    <w:name w:val="List Paragraph"/>
    <w:basedOn w:val="Norml"/>
    <w:qFormat/>
    <w:rsid w:val="00FE7BA2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FE7BA2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E7B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E7BA2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E7BA2"/>
    <w:rPr>
      <w:b/>
      <w:bCs/>
      <w:smallCaps/>
      <w:color w:val="0F4761" w:themeColor="accent1" w:themeShade="BF"/>
      <w:spacing w:val="5"/>
    </w:rPr>
  </w:style>
  <w:style w:type="paragraph" w:styleId="NormlWeb">
    <w:name w:val="Normal (Web)"/>
    <w:basedOn w:val="Norml"/>
    <w:uiPriority w:val="99"/>
    <w:unhideWhenUsed/>
    <w:rsid w:val="00FE7B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character" w:styleId="Kiemels2">
    <w:name w:val="Strong"/>
    <w:basedOn w:val="Bekezdsalapbettpusa"/>
    <w:uiPriority w:val="22"/>
    <w:qFormat/>
    <w:rsid w:val="00FE7BA2"/>
    <w:rPr>
      <w:b/>
      <w:bCs/>
    </w:rPr>
  </w:style>
  <w:style w:type="character" w:styleId="Hiperhivatkozs">
    <w:name w:val="Hyperlink"/>
    <w:basedOn w:val="Bekezdsalapbettpusa"/>
    <w:uiPriority w:val="99"/>
    <w:unhideWhenUsed/>
    <w:rsid w:val="00FE7BA2"/>
    <w:rPr>
      <w:color w:val="467886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565BB3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1034C5"/>
    <w:rPr>
      <w:color w:val="96607D" w:themeColor="followedHyperlink"/>
      <w:u w:val="single"/>
    </w:rPr>
  </w:style>
  <w:style w:type="paragraph" w:styleId="lfej">
    <w:name w:val="header"/>
    <w:basedOn w:val="Norml"/>
    <w:link w:val="lfejChar"/>
    <w:uiPriority w:val="99"/>
    <w:unhideWhenUsed/>
    <w:rsid w:val="009C7A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C7AC2"/>
  </w:style>
  <w:style w:type="paragraph" w:styleId="llb">
    <w:name w:val="footer"/>
    <w:basedOn w:val="Norml"/>
    <w:link w:val="llbChar"/>
    <w:uiPriority w:val="99"/>
    <w:unhideWhenUsed/>
    <w:rsid w:val="009C7A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C7A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hp-20.asp.lgov.hu/nyitolap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erencvaros.hu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ohp-20.asp.lgov.hu/nyitolap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ohp-20.asp.lgov.hu/ugyinditas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778669-B3CA-441C-815B-8937D6AE7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5</Pages>
  <Words>1030</Words>
  <Characters>7108</Characters>
  <Application>Microsoft Office Word</Application>
  <DocSecurity>0</DocSecurity>
  <Lines>59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Sali-Kiss Krisztina</dc:creator>
  <cp:keywords/>
  <dc:description/>
  <cp:lastModifiedBy>Egervári Éva, dr.</cp:lastModifiedBy>
  <cp:revision>10</cp:revision>
  <cp:lastPrinted>2026-09-28T07:20:00Z</cp:lastPrinted>
  <dcterms:created xsi:type="dcterms:W3CDTF">2026-07-27T09:03:00Z</dcterms:created>
  <dcterms:modified xsi:type="dcterms:W3CDTF">2026-10-20T13:57:00Z</dcterms:modified>
</cp:coreProperties>
</file>