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2B1C9" w14:textId="298B2EF0" w:rsidR="00FE7BA2" w:rsidRPr="009A71D9" w:rsidRDefault="00641459" w:rsidP="00A46F53">
      <w:pPr>
        <w:spacing w:after="240" w:line="240" w:lineRule="auto"/>
        <w:rPr>
          <w:rFonts w:ascii="Titillium Web" w:hAnsi="Titillium Web"/>
          <w:b/>
          <w:bCs/>
        </w:rPr>
      </w:pPr>
      <w:r>
        <w:rPr>
          <w:rFonts w:ascii="Titillium Web" w:hAnsi="Titillium Web"/>
          <w:b/>
          <w:bCs/>
        </w:rPr>
        <w:t>TÁJÉKOZTAT</w:t>
      </w:r>
      <w:r w:rsidR="0030522A">
        <w:rPr>
          <w:rFonts w:ascii="Titillium Web" w:hAnsi="Titillium Web"/>
          <w:b/>
          <w:bCs/>
        </w:rPr>
        <w:t>Ó</w:t>
      </w:r>
      <w:r>
        <w:rPr>
          <w:rFonts w:ascii="Titillium Web" w:hAnsi="Titillium Web"/>
          <w:b/>
          <w:bCs/>
        </w:rPr>
        <w:t xml:space="preserve"> </w:t>
      </w:r>
      <w:r w:rsidR="004C261E">
        <w:rPr>
          <w:rFonts w:ascii="Titillium Web" w:hAnsi="Titillium Web"/>
          <w:b/>
          <w:bCs/>
        </w:rPr>
        <w:t>T</w:t>
      </w:r>
      <w:r>
        <w:rPr>
          <w:rFonts w:ascii="Titillium Web" w:hAnsi="Titillium Web"/>
          <w:b/>
          <w:bCs/>
        </w:rPr>
        <w:t>ÚLFIZETÉS RENDEZÉSÉRŐL</w:t>
      </w:r>
    </w:p>
    <w:p w14:paraId="7BFC5325" w14:textId="242534EB" w:rsidR="00FE7BA2" w:rsidRPr="009A71D9" w:rsidRDefault="00641459" w:rsidP="00641459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</w:pPr>
      <w:r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>Általános információk</w:t>
      </w:r>
    </w:p>
    <w:p w14:paraId="2F82763C" w14:textId="77777777" w:rsidR="004C261E" w:rsidRDefault="004C261E" w:rsidP="004C261E">
      <w:pPr>
        <w:pStyle w:val="NormlWeb"/>
        <w:numPr>
          <w:ilvl w:val="1"/>
          <w:numId w:val="2"/>
        </w:numPr>
        <w:shd w:val="clear" w:color="auto" w:fill="FFFFFF"/>
        <w:spacing w:before="0" w:beforeAutospacing="0" w:after="120" w:afterAutospacing="0"/>
        <w:ind w:left="1077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4C261E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Ha az adott adónem tekintetében az adózónak vagy a tartozás megfizetésére kötelezett személynek fizetési kötelezettségét meghaladó összeg áll az adószámlán a rendelkezésére (a továbbiakban: túlfizetés), az önkormányzati adóhatóság a túlfizetés összegét kérelemre az adózó, a tartozás megfizetésére kötelezett személy által megjelölt adónemre, fizetési kötelezettségre, tételes elszámolású fizetési kötelezettség esetében a konkrét fizetési kötelezettségre számolja el. </w:t>
      </w:r>
    </w:p>
    <w:p w14:paraId="5412F35C" w14:textId="77777777" w:rsidR="004C261E" w:rsidRDefault="004C261E" w:rsidP="004C261E">
      <w:pPr>
        <w:pStyle w:val="NormlWeb"/>
        <w:numPr>
          <w:ilvl w:val="1"/>
          <w:numId w:val="2"/>
        </w:numPr>
        <w:shd w:val="clear" w:color="auto" w:fill="FFFFFF"/>
        <w:spacing w:before="0" w:beforeAutospacing="0" w:after="120" w:afterAutospacing="0"/>
        <w:ind w:left="1077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4C261E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Ha az adózónak adótartozása nincs, és bevallási kötelezettségeinek eleget tett, rendelkezhet a fennmaradó összeg visszatérítéséről. Rendelkezés hiányában az önkormányzati adóhatóság a túlfizetést a később esedékes adó kiegyenlítésére számolja el. Az önkormányzati adóhatóság a</w:t>
      </w:r>
      <w:r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</w:t>
      </w:r>
      <w:r w:rsidRPr="004C261E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fennmaradó összeget csak akkor térítheti vissza, ha a befizetőnek nincs általa nyilvántartott, adók módjára behajtandó köztartozása. </w:t>
      </w:r>
    </w:p>
    <w:p w14:paraId="33C26F15" w14:textId="77777777" w:rsidR="004C261E" w:rsidRDefault="004C261E" w:rsidP="004C261E">
      <w:pPr>
        <w:pStyle w:val="NormlWeb"/>
        <w:numPr>
          <w:ilvl w:val="1"/>
          <w:numId w:val="2"/>
        </w:numPr>
        <w:shd w:val="clear" w:color="auto" w:fill="FFFFFF"/>
        <w:spacing w:before="0" w:beforeAutospacing="0" w:after="120" w:afterAutospacing="0"/>
        <w:ind w:left="1077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4C261E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A túlfizetés visszaigényléséhez való jog elévülését követően az önkormányzati adóhatóság a túlfizetés összegét hivatalból vagy kérelemre az általa nyilvántartott, az adózót, a tartozás megfizetésére kötelezett személyt terhelő más tartozásra számolja el, vagy tartozás hiányában azt hivatalból törli. </w:t>
      </w:r>
    </w:p>
    <w:p w14:paraId="51618BE2" w14:textId="77777777" w:rsidR="004C261E" w:rsidRDefault="004C261E" w:rsidP="004C261E">
      <w:pPr>
        <w:pStyle w:val="NormlWeb"/>
        <w:numPr>
          <w:ilvl w:val="1"/>
          <w:numId w:val="2"/>
        </w:numPr>
        <w:shd w:val="clear" w:color="auto" w:fill="FFFFFF"/>
        <w:spacing w:before="0" w:beforeAutospacing="0" w:after="120" w:afterAutospacing="0"/>
        <w:ind w:left="1077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4C261E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Az önkormányzati adóhatóság számlájára tévesen befizetett összeg visszafizetését a befizető a túlfizetésre vonatkozó szabályok szerint igényelheti. </w:t>
      </w:r>
    </w:p>
    <w:p w14:paraId="0B9C29CA" w14:textId="5DD06338" w:rsidR="004C261E" w:rsidRDefault="004C261E" w:rsidP="004C261E">
      <w:pPr>
        <w:pStyle w:val="NormlWeb"/>
        <w:numPr>
          <w:ilvl w:val="1"/>
          <w:numId w:val="2"/>
        </w:numPr>
        <w:shd w:val="clear" w:color="auto" w:fill="FFFFFF"/>
        <w:spacing w:before="0" w:beforeAutospacing="0" w:after="120" w:afterAutospacing="0"/>
        <w:ind w:left="1077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4C261E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Az önkormányzati adóhatóság az adónemben túlfizetésként fennálló, </w:t>
      </w:r>
      <w:r w:rsidRPr="004C261E">
        <w:rPr>
          <w:rFonts w:ascii="Titillium Web" w:eastAsiaTheme="minorHAnsi" w:hAnsi="Titillium Web" w:cs="Arial"/>
          <w:b/>
          <w:bCs/>
          <w:bdr w:val="none" w:sz="0" w:space="0" w:color="auto" w:frame="1"/>
          <w:lang w:eastAsia="en-US"/>
        </w:rPr>
        <w:t>1000 Ft-ot el nem érő adót nem téríti vissza</w:t>
      </w:r>
      <w:r w:rsidRPr="004C261E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, azt a jövőben esedékes – az önkormányzati adóhatóságnál nyilvántartott – adóra, egyéb közteherre számolja el. </w:t>
      </w:r>
    </w:p>
    <w:p w14:paraId="5CAB6DDD" w14:textId="5397137C" w:rsidR="004C261E" w:rsidRPr="00641459" w:rsidRDefault="00641459" w:rsidP="00641459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641459"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>Benyújtandó iratok</w:t>
      </w:r>
    </w:p>
    <w:p w14:paraId="756975F2" w14:textId="3364788D" w:rsidR="004C261E" w:rsidRDefault="00641459" w:rsidP="00641459">
      <w:pPr>
        <w:pStyle w:val="NormlWeb"/>
        <w:numPr>
          <w:ilvl w:val="0"/>
          <w:numId w:val="15"/>
        </w:numPr>
        <w:shd w:val="clear" w:color="auto" w:fill="FFFFFF"/>
        <w:spacing w:before="0" w:beforeAutospacing="0" w:after="120" w:afterAutospacing="0"/>
        <w:ind w:left="851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>
        <w:rPr>
          <w:rFonts w:ascii="Titillium Web" w:eastAsiaTheme="minorHAnsi" w:hAnsi="Titillium Web" w:cs="Arial"/>
          <w:bdr w:val="none" w:sz="0" w:space="0" w:color="auto" w:frame="1"/>
          <w:lang w:eastAsia="en-US"/>
        </w:rPr>
        <w:t>Kitöltött</w:t>
      </w:r>
      <w:r w:rsidR="004C261E" w:rsidRPr="004C261E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kérelem, amely tartalmazza a befizető adózó nevét, azonosító adatait (születési helyét, idejét, anyja nevét), címét, adóazonosító jelét, adószámát, a túlfizetés összegét, az adózó túlfizetéssel kapcsolatos nyilatkozatait. </w:t>
      </w:r>
      <w:r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 kérelmezőnek n</w:t>
      </w:r>
      <w:r w:rsidR="004C261E" w:rsidRPr="004C261E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yilatkoznia szükséges arról, hogy más adóhatóságnál tartozása nincs. </w:t>
      </w:r>
    </w:p>
    <w:p w14:paraId="1E856C61" w14:textId="4C4A2151" w:rsidR="004C261E" w:rsidRDefault="004C261E" w:rsidP="00641459">
      <w:pPr>
        <w:pStyle w:val="NormlWeb"/>
        <w:numPr>
          <w:ilvl w:val="0"/>
          <w:numId w:val="15"/>
        </w:numPr>
        <w:shd w:val="clear" w:color="auto" w:fill="FFFFFF"/>
        <w:spacing w:before="0" w:beforeAutospacing="0" w:after="120" w:afterAutospacing="0"/>
        <w:ind w:left="851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4C261E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A képviselő által benyújtott kérelem esetén a </w:t>
      </w:r>
      <w:r w:rsidRPr="00641459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meghatalmazás</w:t>
      </w:r>
      <w:r w:rsidRPr="004C261E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. </w:t>
      </w:r>
    </w:p>
    <w:p w14:paraId="7FD01710" w14:textId="52ED044E" w:rsidR="00111F14" w:rsidRPr="00641459" w:rsidRDefault="004C261E" w:rsidP="00641459">
      <w:pPr>
        <w:pStyle w:val="NormlWeb"/>
        <w:numPr>
          <w:ilvl w:val="0"/>
          <w:numId w:val="15"/>
        </w:numPr>
        <w:shd w:val="clear" w:color="auto" w:fill="FFFFFF"/>
        <w:spacing w:before="0" w:beforeAutospacing="0" w:after="120" w:afterAutospacing="0"/>
        <w:ind w:left="851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4C261E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Az elhunyt túlfizetésének visszaigénylése esetén </w:t>
      </w:r>
      <w:r w:rsidRPr="00641459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 jogerős/végleges hagyatékátadó végzés.</w:t>
      </w:r>
    </w:p>
    <w:p w14:paraId="1FAC2FE5" w14:textId="449A7489" w:rsidR="0093054B" w:rsidRPr="009A71D9" w:rsidRDefault="0093054B" w:rsidP="00641459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9A71D9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Eljárási díj</w:t>
      </w:r>
    </w:p>
    <w:p w14:paraId="2F047D7E" w14:textId="6735C57E" w:rsidR="00FE7BA2" w:rsidRPr="009A71D9" w:rsidRDefault="004C261E" w:rsidP="0093054B">
      <w:pPr>
        <w:pStyle w:val="NormlWeb"/>
        <w:shd w:val="clear" w:color="auto" w:fill="FFFFFF"/>
        <w:spacing w:before="0" w:beforeAutospacing="0" w:after="120" w:afterAutospacing="0"/>
        <w:ind w:left="709"/>
        <w:jc w:val="both"/>
        <w:rPr>
          <w:rFonts w:ascii="Titillium Web" w:hAnsi="Titillium Web" w:cs="Arial"/>
        </w:rPr>
      </w:pPr>
      <w:r w:rsidRPr="004C261E">
        <w:rPr>
          <w:rFonts w:ascii="Titillium Web" w:hAnsi="Titillium Web" w:cs="Arial"/>
        </w:rPr>
        <w:lastRenderedPageBreak/>
        <w:t xml:space="preserve">A kérelem benyújtása </w:t>
      </w:r>
      <w:r w:rsidR="00FE7BA2" w:rsidRPr="009A71D9">
        <w:rPr>
          <w:rFonts w:ascii="Titillium Web" w:hAnsi="Titillium Web" w:cs="Arial"/>
        </w:rPr>
        <w:t>illetékmentes.</w:t>
      </w:r>
    </w:p>
    <w:p w14:paraId="5A4F13FA" w14:textId="1459BACC" w:rsidR="00FE7BA2" w:rsidRPr="009A71D9" w:rsidRDefault="00565BB3" w:rsidP="00565BB3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24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9A71D9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 xml:space="preserve">A </w:t>
      </w:r>
      <w:r w:rsidR="00111F14" w:rsidRPr="009A71D9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kérelem</w:t>
      </w:r>
      <w:r w:rsidRPr="009A71D9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 xml:space="preserve"> b</w:t>
      </w:r>
      <w:r w:rsidR="00FE7BA2" w:rsidRPr="009A71D9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enyújtás</w:t>
      </w:r>
      <w:r w:rsidRPr="009A71D9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ának</w:t>
      </w:r>
      <w:r w:rsidR="00FE7BA2" w:rsidRPr="009A71D9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 xml:space="preserve"> módja</w:t>
      </w:r>
    </w:p>
    <w:p w14:paraId="0A5A550F" w14:textId="6B058304" w:rsidR="000D71B9" w:rsidRPr="009A71D9" w:rsidRDefault="000D71B9" w:rsidP="000D71B9">
      <w:pPr>
        <w:pStyle w:val="Listaszerbekezds"/>
        <w:numPr>
          <w:ilvl w:val="1"/>
          <w:numId w:val="2"/>
        </w:numPr>
        <w:spacing w:after="120" w:line="240" w:lineRule="auto"/>
        <w:ind w:left="1077"/>
        <w:contextualSpacing w:val="0"/>
        <w:jc w:val="both"/>
        <w:rPr>
          <w:rFonts w:ascii="Titillium Web" w:eastAsia="Times New Roman" w:hAnsi="Titillium Web" w:cs="Arial"/>
        </w:rPr>
      </w:pPr>
      <w:r w:rsidRPr="009A71D9">
        <w:rPr>
          <w:rFonts w:ascii="Titillium Web" w:eastAsia="Times New Roman" w:hAnsi="Titillium Web" w:cs="Arial"/>
          <w:b/>
          <w:bCs/>
        </w:rPr>
        <w:t>Elektronikus úton</w:t>
      </w:r>
      <w:r w:rsidRPr="009A71D9">
        <w:rPr>
          <w:rFonts w:ascii="Titillium Web" w:eastAsia="Times New Roman" w:hAnsi="Titillium Web" w:cs="Arial"/>
        </w:rPr>
        <w:t xml:space="preserve"> – </w:t>
      </w:r>
      <w:r w:rsidR="000A552F" w:rsidRPr="009A71D9">
        <w:rPr>
          <w:rFonts w:ascii="Titillium Web" w:eastAsia="Times New Roman" w:hAnsi="Titillium Web" w:cs="Arial"/>
        </w:rPr>
        <w:t>az</w:t>
      </w:r>
      <w:r w:rsidRPr="009A71D9">
        <w:rPr>
          <w:rFonts w:ascii="Titillium Web" w:eastAsia="Times New Roman" w:hAnsi="Titillium Web" w:cs="Arial"/>
        </w:rPr>
        <w:t xml:space="preserve"> elektronikus kapcsolattartásra kötelezett adóalany, valamint az elektronikus kapcsolattartásra nem kötelezett természetes személy adóalany saját választása szerint </w:t>
      </w:r>
      <w:r w:rsidR="00404D7E" w:rsidRPr="009A71D9">
        <w:rPr>
          <w:rFonts w:ascii="Titillium Web" w:eastAsia="Times New Roman" w:hAnsi="Titillium Web" w:cs="Arial"/>
        </w:rPr>
        <w:t xml:space="preserve">– </w:t>
      </w:r>
      <w:r w:rsidRPr="009A71D9">
        <w:rPr>
          <w:rFonts w:ascii="Titillium Web" w:eastAsia="Times New Roman" w:hAnsi="Titillium Web" w:cs="Arial"/>
        </w:rPr>
        <w:t>az E-Önkormányzat Portálon (</w:t>
      </w:r>
      <w:hyperlink r:id="rId7" w:history="1">
        <w:r w:rsidRPr="009A71D9">
          <w:rPr>
            <w:rStyle w:val="Hiperhivatkozs"/>
            <w:rFonts w:ascii="Titillium Web" w:eastAsia="Times New Roman" w:hAnsi="Titillium Web" w:cs="Arial"/>
          </w:rPr>
          <w:t>E-Önkormányzat Portál</w:t>
        </w:r>
      </w:hyperlink>
      <w:r w:rsidRPr="009A71D9">
        <w:rPr>
          <w:rFonts w:ascii="Titillium Web" w:eastAsia="Times New Roman" w:hAnsi="Titillium Web" w:cs="Arial"/>
        </w:rPr>
        <w:t>)</w:t>
      </w:r>
      <w:r w:rsidR="00654C4F" w:rsidRPr="009A71D9">
        <w:rPr>
          <w:rFonts w:ascii="Titillium Web" w:eastAsia="Times New Roman" w:hAnsi="Titillium Web" w:cs="Arial"/>
        </w:rPr>
        <w:t>.</w:t>
      </w:r>
      <w:r w:rsidR="000A552F" w:rsidRPr="009A71D9">
        <w:rPr>
          <w:rFonts w:ascii="Titillium Web" w:eastAsia="Times New Roman" w:hAnsi="Titillium Web" w:cs="Arial"/>
        </w:rPr>
        <w:t xml:space="preserve"> Az E-Papír</w:t>
      </w:r>
      <w:r w:rsidR="00404D7E" w:rsidRPr="009A71D9">
        <w:rPr>
          <w:rFonts w:ascii="Titillium Web" w:eastAsia="Times New Roman" w:hAnsi="Titillium Web" w:cs="Arial"/>
        </w:rPr>
        <w:t xml:space="preserve"> szolgáltatás igénybevételével</w:t>
      </w:r>
      <w:r w:rsidR="000A552F" w:rsidRPr="009A71D9">
        <w:rPr>
          <w:rFonts w:ascii="Titillium Web" w:eastAsia="Times New Roman" w:hAnsi="Titillium Web" w:cs="Arial"/>
        </w:rPr>
        <w:t xml:space="preserve"> benyújtott </w:t>
      </w:r>
      <w:r w:rsidR="00111F14" w:rsidRPr="009A71D9">
        <w:rPr>
          <w:rFonts w:ascii="Titillium Web" w:eastAsia="Times New Roman" w:hAnsi="Titillium Web" w:cs="Arial"/>
        </w:rPr>
        <w:t>kérelmet</w:t>
      </w:r>
      <w:r w:rsidR="00404D7E" w:rsidRPr="009A71D9">
        <w:rPr>
          <w:rFonts w:ascii="Titillium Web" w:eastAsia="Times New Roman" w:hAnsi="Titillium Web" w:cs="Arial"/>
        </w:rPr>
        <w:t xml:space="preserve"> </w:t>
      </w:r>
      <w:r w:rsidR="00404D7E" w:rsidRPr="009A71D9">
        <w:rPr>
          <w:rFonts w:ascii="Titillium Web" w:eastAsia="Times New Roman" w:hAnsi="Titillium Web" w:cs="Arial"/>
          <w:b/>
          <w:bCs/>
        </w:rPr>
        <w:t>be nem nyújtottnak kell tekinteni</w:t>
      </w:r>
      <w:r w:rsidR="000A552F" w:rsidRPr="009A71D9">
        <w:rPr>
          <w:rFonts w:ascii="Titillium Web" w:eastAsia="Times New Roman" w:hAnsi="Titillium Web" w:cs="Arial"/>
        </w:rPr>
        <w:t>.</w:t>
      </w:r>
    </w:p>
    <w:p w14:paraId="4D68F94A" w14:textId="0AD3C220" w:rsidR="000D71B9" w:rsidRPr="009A71D9" w:rsidRDefault="000D71B9" w:rsidP="000D71B9">
      <w:pPr>
        <w:pStyle w:val="Listaszerbekezds"/>
        <w:numPr>
          <w:ilvl w:val="1"/>
          <w:numId w:val="2"/>
        </w:numPr>
        <w:spacing w:after="120" w:line="240" w:lineRule="auto"/>
        <w:contextualSpacing w:val="0"/>
        <w:jc w:val="both"/>
        <w:rPr>
          <w:rFonts w:ascii="Titillium Web" w:eastAsia="Times New Roman" w:hAnsi="Titillium Web" w:cs="Arial"/>
        </w:rPr>
      </w:pPr>
      <w:r w:rsidRPr="009A71D9">
        <w:rPr>
          <w:rFonts w:ascii="Titillium Web" w:eastAsia="Times New Roman" w:hAnsi="Titillium Web" w:cs="Arial"/>
          <w:b/>
          <w:bCs/>
        </w:rPr>
        <w:t>Postai úton</w:t>
      </w:r>
      <w:r w:rsidRPr="009A71D9">
        <w:rPr>
          <w:rFonts w:ascii="Titillium Web" w:eastAsia="Times New Roman" w:hAnsi="Titillium Web" w:cs="Arial"/>
        </w:rPr>
        <w:t xml:space="preserve"> </w:t>
      </w:r>
      <w:r w:rsidR="00C723DF" w:rsidRPr="009A71D9">
        <w:rPr>
          <w:rFonts w:ascii="Titillium Web" w:eastAsia="Times New Roman" w:hAnsi="Titillium Web" w:cs="Arial"/>
        </w:rPr>
        <w:t xml:space="preserve">– az elektronikus kapcsolattartásra nem kötelezett természetes személy adóalany − </w:t>
      </w:r>
      <w:r w:rsidRPr="009A71D9">
        <w:rPr>
          <w:rFonts w:ascii="Titillium Web" w:eastAsia="Times New Roman" w:hAnsi="Titillium Web" w:cs="Arial"/>
        </w:rPr>
        <w:t>(Budapest Főváros IX. Kerület Ferencváros Polgármesteri Hivatal, 1093 Budapest, Bakáts utca 8.)</w:t>
      </w:r>
    </w:p>
    <w:p w14:paraId="769F78D9" w14:textId="677DE9D3" w:rsidR="00565BB3" w:rsidRPr="009A71D9" w:rsidRDefault="000D71B9" w:rsidP="00654C4F">
      <w:pPr>
        <w:pStyle w:val="Listaszerbekezds"/>
        <w:numPr>
          <w:ilvl w:val="1"/>
          <w:numId w:val="2"/>
        </w:numPr>
        <w:spacing w:after="120" w:line="240" w:lineRule="auto"/>
        <w:ind w:left="1077"/>
        <w:contextualSpacing w:val="0"/>
        <w:jc w:val="both"/>
        <w:rPr>
          <w:rFonts w:ascii="Titillium Web" w:eastAsia="Times New Roman" w:hAnsi="Titillium Web" w:cs="Arial"/>
        </w:rPr>
      </w:pPr>
      <w:r w:rsidRPr="009A71D9">
        <w:rPr>
          <w:rFonts w:ascii="Titillium Web" w:eastAsia="Times New Roman" w:hAnsi="Titillium Web" w:cs="Arial"/>
          <w:b/>
          <w:bCs/>
        </w:rPr>
        <w:t>Személyesen</w:t>
      </w:r>
      <w:r w:rsidRPr="009A71D9">
        <w:rPr>
          <w:rFonts w:ascii="Titillium Web" w:eastAsia="Times New Roman" w:hAnsi="Titillium Web" w:cs="Arial"/>
        </w:rPr>
        <w:t xml:space="preserve"> </w:t>
      </w:r>
      <w:r w:rsidR="00C723DF" w:rsidRPr="009A71D9">
        <w:rPr>
          <w:rFonts w:ascii="Titillium Web" w:eastAsia="Times New Roman" w:hAnsi="Titillium Web" w:cs="Arial"/>
        </w:rPr>
        <w:t xml:space="preserve">– az elektronikus kapcsolattartásra nem kötelezett természetes személy adóalany − </w:t>
      </w:r>
      <w:r w:rsidR="00565BB3" w:rsidRPr="009A71D9">
        <w:rPr>
          <w:rFonts w:ascii="Titillium Web" w:eastAsia="Times New Roman" w:hAnsi="Titillium Web" w:cs="Arial"/>
        </w:rPr>
        <w:t xml:space="preserve">az </w:t>
      </w:r>
      <w:r w:rsidRPr="009A71D9">
        <w:rPr>
          <w:rFonts w:ascii="Titillium Web" w:eastAsia="Times New Roman" w:hAnsi="Titillium Web" w:cs="Arial"/>
        </w:rPr>
        <w:t>Adóhatósági Csoport hivatali helyiségében</w:t>
      </w:r>
      <w:r w:rsidR="00565BB3" w:rsidRPr="009A71D9">
        <w:rPr>
          <w:rFonts w:ascii="Titillium Web" w:eastAsia="Times New Roman" w:hAnsi="Titillium Web" w:cs="Arial"/>
        </w:rPr>
        <w:t xml:space="preserve"> </w:t>
      </w:r>
      <w:r w:rsidRPr="009A71D9">
        <w:rPr>
          <w:rFonts w:ascii="Titillium Web" w:eastAsia="Times New Roman" w:hAnsi="Titillium Web" w:cs="Arial"/>
        </w:rPr>
        <w:t xml:space="preserve">(1093 Budapest, Bakáts utca 8. szám alatt a földszinti irodában) </w:t>
      </w:r>
      <w:r w:rsidR="00565BB3" w:rsidRPr="009A71D9">
        <w:rPr>
          <w:rFonts w:ascii="Titillium Web" w:eastAsia="Times New Roman" w:hAnsi="Titillium Web" w:cs="Arial"/>
        </w:rPr>
        <w:t>ügyfélfogadási időben</w:t>
      </w:r>
      <w:r w:rsidRPr="009A71D9">
        <w:rPr>
          <w:rFonts w:ascii="Titillium Web" w:eastAsia="Times New Roman" w:hAnsi="Titillium Web" w:cs="Arial"/>
        </w:rPr>
        <w:t xml:space="preserve"> (hétfő 13:00-17:30, szerda 8:00-16:00, péntek 8:00-12:00)</w:t>
      </w:r>
      <w:r w:rsidR="00565BB3" w:rsidRPr="009A71D9">
        <w:rPr>
          <w:rFonts w:ascii="Titillium Web" w:eastAsia="Times New Roman" w:hAnsi="Titillium Web" w:cs="Arial"/>
        </w:rPr>
        <w:t>.</w:t>
      </w:r>
    </w:p>
    <w:p w14:paraId="0E91E0DE" w14:textId="2E386393" w:rsidR="00FE7BA2" w:rsidRPr="009A71D9" w:rsidRDefault="004C261E" w:rsidP="00641459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Hol található a kérelem?</w:t>
      </w:r>
    </w:p>
    <w:p w14:paraId="68C48F0E" w14:textId="3BAF400F" w:rsidR="00654C4F" w:rsidRPr="009A71D9" w:rsidRDefault="00654C4F" w:rsidP="00A62AD9">
      <w:pPr>
        <w:pStyle w:val="Listaszerbekezds"/>
        <w:numPr>
          <w:ilvl w:val="1"/>
          <w:numId w:val="2"/>
        </w:numPr>
        <w:spacing w:after="120" w:line="240" w:lineRule="auto"/>
        <w:contextualSpacing w:val="0"/>
        <w:jc w:val="both"/>
        <w:rPr>
          <w:rFonts w:ascii="Titillium Web" w:eastAsia="Times New Roman" w:hAnsi="Titillium Web" w:cs="Arial"/>
          <w:bCs/>
        </w:rPr>
      </w:pPr>
      <w:r w:rsidRPr="009A71D9">
        <w:rPr>
          <w:rFonts w:ascii="Titillium Web" w:eastAsia="Times New Roman" w:hAnsi="Titillium Web" w:cs="Arial"/>
        </w:rPr>
        <w:t>A</w:t>
      </w:r>
      <w:r w:rsidR="00AB799A" w:rsidRPr="009A71D9">
        <w:rPr>
          <w:rFonts w:ascii="Titillium Web" w:eastAsia="Times New Roman" w:hAnsi="Titillium Web" w:cs="Arial"/>
        </w:rPr>
        <w:t xml:space="preserve"> kérelem</w:t>
      </w:r>
      <w:r w:rsidRPr="009A71D9">
        <w:rPr>
          <w:rFonts w:ascii="Titillium Web" w:eastAsia="Times New Roman" w:hAnsi="Titillium Web" w:cs="Arial"/>
        </w:rPr>
        <w:t xml:space="preserve"> az E-Önkormányzat Portálon (</w:t>
      </w:r>
      <w:hyperlink r:id="rId8" w:history="1">
        <w:r w:rsidRPr="009A71D9">
          <w:rPr>
            <w:rStyle w:val="Hiperhivatkozs"/>
            <w:rFonts w:ascii="Titillium Web" w:eastAsia="Times New Roman" w:hAnsi="Titillium Web" w:cs="Arial"/>
          </w:rPr>
          <w:t>E-Önkormányzat Portál</w:t>
        </w:r>
      </w:hyperlink>
      <w:r w:rsidRPr="009A71D9">
        <w:rPr>
          <w:rFonts w:ascii="Titillium Web" w:eastAsia="Times New Roman" w:hAnsi="Titillium Web" w:cs="Arial"/>
        </w:rPr>
        <w:t>) bejelentkezés után, a BUDAPEST FŐVÁROS IX. KERÜLET FERENCVÁROS ÖNKORMÁNYZATA kiválasztása, ezt követően a legördülő menüből az „Adóügyi” ágazat kiválasztása, majd az ugyancsak legördülő menüből az „</w:t>
      </w:r>
      <w:r w:rsidR="00AB799A" w:rsidRPr="009A71D9">
        <w:rPr>
          <w:rFonts w:ascii="Titillium Web" w:eastAsia="Times New Roman" w:hAnsi="Titillium Web" w:cs="Arial"/>
        </w:rPr>
        <w:t>általános adónyomtatványok</w:t>
      </w:r>
      <w:r w:rsidRPr="009A71D9">
        <w:rPr>
          <w:rFonts w:ascii="Titillium Web" w:eastAsia="Times New Roman" w:hAnsi="Titillium Web" w:cs="Arial"/>
        </w:rPr>
        <w:t>” ügytípus választásával elérhető.</w:t>
      </w:r>
    </w:p>
    <w:p w14:paraId="18EE3269" w14:textId="77777777" w:rsidR="00A62AD9" w:rsidRDefault="00654C4F" w:rsidP="00A62AD9">
      <w:pPr>
        <w:pStyle w:val="Listaszerbekezds"/>
        <w:numPr>
          <w:ilvl w:val="1"/>
          <w:numId w:val="2"/>
        </w:numPr>
        <w:spacing w:after="120" w:line="240" w:lineRule="auto"/>
        <w:contextualSpacing w:val="0"/>
        <w:jc w:val="both"/>
        <w:rPr>
          <w:rFonts w:ascii="Titillium Web" w:eastAsia="Times New Roman" w:hAnsi="Titillium Web" w:cs="Arial"/>
          <w:bCs/>
        </w:rPr>
      </w:pPr>
      <w:r w:rsidRPr="00A62AD9">
        <w:rPr>
          <w:rFonts w:ascii="Titillium Web" w:eastAsia="Times New Roman" w:hAnsi="Titillium Web" w:cs="Arial"/>
          <w:bCs/>
        </w:rPr>
        <w:t xml:space="preserve">A </w:t>
      </w:r>
      <w:r w:rsidR="00AB799A" w:rsidRPr="00A62AD9">
        <w:rPr>
          <w:rFonts w:ascii="Titillium Web" w:eastAsia="Times New Roman" w:hAnsi="Titillium Web" w:cs="Arial"/>
          <w:bCs/>
        </w:rPr>
        <w:t>kérelem</w:t>
      </w:r>
      <w:r w:rsidRPr="00A62AD9">
        <w:rPr>
          <w:rFonts w:ascii="Titillium Web" w:eastAsia="Times New Roman" w:hAnsi="Titillium Web" w:cs="Arial"/>
          <w:bCs/>
        </w:rPr>
        <w:t xml:space="preserve"> elérhető az önkormányzat honlapján (</w:t>
      </w:r>
      <w:hyperlink r:id="rId9" w:history="1">
        <w:r w:rsidRPr="00A62AD9">
          <w:rPr>
            <w:rStyle w:val="Hiperhivatkozs"/>
            <w:rFonts w:ascii="Titillium Web" w:eastAsia="Times New Roman" w:hAnsi="Titillium Web" w:cs="Arial"/>
            <w:bCs/>
          </w:rPr>
          <w:t>ferencvaros.hu</w:t>
        </w:r>
      </w:hyperlink>
      <w:r w:rsidRPr="00A62AD9">
        <w:rPr>
          <w:rFonts w:ascii="Titillium Web" w:eastAsia="Times New Roman" w:hAnsi="Titillium Web" w:cs="Arial"/>
          <w:bCs/>
        </w:rPr>
        <w:t>) is.</w:t>
      </w:r>
    </w:p>
    <w:p w14:paraId="113B4CC4" w14:textId="77777777" w:rsidR="00FE7BA2" w:rsidRPr="00DE5DF9" w:rsidRDefault="00FE7BA2" w:rsidP="00641459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DE5DF9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Ügyintézési határidő</w:t>
      </w:r>
    </w:p>
    <w:p w14:paraId="2292CB6D" w14:textId="5DAB24DC" w:rsidR="001A278C" w:rsidRPr="00DE5DF9" w:rsidRDefault="004C261E" w:rsidP="00641459">
      <w:p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Titillium Web" w:hAnsi="Titillium Web" w:cs="Arial"/>
          <w:bCs/>
        </w:rPr>
      </w:pPr>
      <w:r w:rsidRPr="004C261E">
        <w:rPr>
          <w:rFonts w:ascii="Titillium Web" w:hAnsi="Titillium Web" w:cs="Arial"/>
          <w:bCs/>
        </w:rPr>
        <w:t xml:space="preserve">A túlfizetést a kérelem beérkezésének napjától, de legkorábban az esedékességtől számított </w:t>
      </w:r>
      <w:r>
        <w:rPr>
          <w:rFonts w:ascii="Titillium Web" w:hAnsi="Titillium Web" w:cs="Arial"/>
          <w:bCs/>
        </w:rPr>
        <w:t>30</w:t>
      </w:r>
      <w:r w:rsidRPr="004C261E">
        <w:rPr>
          <w:rFonts w:ascii="Titillium Web" w:hAnsi="Titillium Web" w:cs="Arial"/>
          <w:bCs/>
        </w:rPr>
        <w:t xml:space="preserve"> napon belül kell kiutalni.</w:t>
      </w:r>
    </w:p>
    <w:p w14:paraId="0B7E4A75" w14:textId="77777777" w:rsidR="00FE7BA2" w:rsidRPr="00DE5DF9" w:rsidRDefault="00FE7BA2" w:rsidP="00641459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DE5DF9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Bővebb információ</w:t>
      </w:r>
    </w:p>
    <w:p w14:paraId="68607E30" w14:textId="134B8C73" w:rsidR="001A278C" w:rsidRPr="009A71D9" w:rsidRDefault="001A278C" w:rsidP="00641459">
      <w:pPr>
        <w:pStyle w:val="NormlWeb"/>
        <w:shd w:val="clear" w:color="auto" w:fill="FFFFFF"/>
        <w:spacing w:before="0" w:beforeAutospacing="0" w:after="120" w:afterAutospacing="0"/>
        <w:ind w:left="426"/>
        <w:jc w:val="both"/>
        <w:rPr>
          <w:rFonts w:ascii="Titillium Web" w:hAnsi="Titillium Web" w:cs="Arial"/>
        </w:rPr>
      </w:pPr>
      <w:r w:rsidRPr="009A71D9">
        <w:rPr>
          <w:rFonts w:ascii="Titillium Web" w:hAnsi="Titillium Web" w:cs="Arial"/>
        </w:rPr>
        <w:t>Ha az E-Önkormányzat Portálon (</w:t>
      </w:r>
      <w:hyperlink r:id="rId10" w:history="1">
        <w:r w:rsidRPr="009A71D9">
          <w:rPr>
            <w:rStyle w:val="Hiperhivatkozs"/>
            <w:rFonts w:ascii="Titillium Web" w:hAnsi="Titillium Web" w:cs="Arial"/>
          </w:rPr>
          <w:t>E-Önkormányzat Portál</w:t>
        </w:r>
      </w:hyperlink>
      <w:r w:rsidRPr="009A71D9">
        <w:rPr>
          <w:rFonts w:ascii="Titillium Web" w:hAnsi="Titillium Web" w:cs="Arial"/>
        </w:rPr>
        <w:t xml:space="preserve">), illetőleg az önkormányzat honlapján </w:t>
      </w:r>
      <w:r w:rsidRPr="009A71D9">
        <w:rPr>
          <w:rFonts w:ascii="Titillium Web" w:hAnsi="Titillium Web" w:cs="Arial"/>
          <w:bCs/>
        </w:rPr>
        <w:t>(</w:t>
      </w:r>
      <w:hyperlink r:id="rId11" w:history="1">
        <w:r w:rsidRPr="009A71D9">
          <w:rPr>
            <w:rStyle w:val="Hiperhivatkozs"/>
            <w:rFonts w:ascii="Titillium Web" w:hAnsi="Titillium Web" w:cs="Arial"/>
            <w:bCs/>
          </w:rPr>
          <w:t>ferencvaros.hu</w:t>
        </w:r>
      </w:hyperlink>
      <w:r w:rsidRPr="009A71D9">
        <w:rPr>
          <w:rFonts w:ascii="Titillium Web" w:hAnsi="Titillium Web" w:cs="Arial"/>
          <w:bCs/>
        </w:rPr>
        <w:t>)</w:t>
      </w:r>
      <w:r w:rsidRPr="009A71D9">
        <w:rPr>
          <w:rFonts w:ascii="Titillium Web" w:hAnsi="Titillium Web" w:cs="Arial"/>
        </w:rPr>
        <w:t xml:space="preserve"> elérhető információkon túl segítségre van szüksége</w:t>
      </w:r>
      <w:r w:rsidR="00A46F53" w:rsidRPr="009A71D9">
        <w:rPr>
          <w:rFonts w:ascii="Titillium Web" w:hAnsi="Titillium Web" w:cs="Arial"/>
        </w:rPr>
        <w:t xml:space="preserve"> </w:t>
      </w:r>
      <w:r w:rsidRPr="009A71D9">
        <w:rPr>
          <w:rFonts w:ascii="Titillium Web" w:hAnsi="Titillium Web" w:cs="Arial"/>
          <w:b/>
          <w:bCs/>
        </w:rPr>
        <w:t>személyesen</w:t>
      </w:r>
      <w:r w:rsidRPr="009A71D9">
        <w:rPr>
          <w:rFonts w:ascii="Titillium Web" w:hAnsi="Titillium Web" w:cs="Arial"/>
        </w:rPr>
        <w:t xml:space="preserve"> (ügyfélfogadási időben: hétfő 13:00-17:30, szerda 8:00-16:00, péntek 8:00-12:00, az Adóhatósági Csoport hivatali helyiségében: 1093 Budapest, Bakáts u. 8. szám alatt a földszinti irodában) vagy </w:t>
      </w:r>
      <w:r w:rsidRPr="009A71D9">
        <w:rPr>
          <w:rFonts w:ascii="Titillium Web" w:hAnsi="Titillium Web" w:cs="Arial"/>
          <w:b/>
          <w:bCs/>
        </w:rPr>
        <w:t>telefonon</w:t>
      </w:r>
      <w:r w:rsidRPr="009A71D9">
        <w:rPr>
          <w:rFonts w:ascii="Titillium Web" w:hAnsi="Titillium Web" w:cs="Arial"/>
        </w:rPr>
        <w:t xml:space="preserve"> (36 1 215-1077/</w:t>
      </w:r>
      <w:r w:rsidR="00A46F53" w:rsidRPr="009A71D9">
        <w:rPr>
          <w:rFonts w:ascii="Titillium Web" w:hAnsi="Titillium Web" w:cs="Arial"/>
        </w:rPr>
        <w:t>43</w:t>
      </w:r>
      <w:r w:rsidR="00DD6006">
        <w:rPr>
          <w:rFonts w:ascii="Titillium Web" w:hAnsi="Titillium Web" w:cs="Arial"/>
        </w:rPr>
        <w:t>4</w:t>
      </w:r>
      <w:r w:rsidR="00A46F53" w:rsidRPr="009A71D9">
        <w:rPr>
          <w:rFonts w:ascii="Titillium Web" w:hAnsi="Titillium Web" w:cs="Arial"/>
        </w:rPr>
        <w:t>)</w:t>
      </w:r>
      <w:r w:rsidRPr="009A71D9">
        <w:rPr>
          <w:rFonts w:ascii="Titillium Web" w:hAnsi="Titillium Web" w:cs="Arial"/>
        </w:rPr>
        <w:t xml:space="preserve"> is állunk rendelkezésre.</w:t>
      </w:r>
    </w:p>
    <w:p w14:paraId="6D0FDCF4" w14:textId="77777777" w:rsidR="00FE7BA2" w:rsidRPr="009A71D9" w:rsidRDefault="00FE7BA2" w:rsidP="00641459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</w:pPr>
      <w:r w:rsidRPr="009A71D9"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  <w:t>Vonatkozó jogszabályok</w:t>
      </w:r>
    </w:p>
    <w:p w14:paraId="2DC242F9" w14:textId="77777777" w:rsidR="00416991" w:rsidRPr="009A71D9" w:rsidRDefault="00A46F53" w:rsidP="00093907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9A71D9">
        <w:rPr>
          <w:rFonts w:ascii="Titillium Web" w:hAnsi="Titillium Web" w:cs="Arial"/>
          <w:bCs/>
        </w:rPr>
        <w:t>a digitális államról és a digitális szolgáltatások nyújtásának egyes szabályairól szóló 2023. évi CIII. törvény (Dáptv.)</w:t>
      </w:r>
    </w:p>
    <w:p w14:paraId="09BF07B6" w14:textId="77777777" w:rsidR="00416991" w:rsidRPr="009A71D9" w:rsidRDefault="00A46F53" w:rsidP="00093907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9A71D9">
        <w:rPr>
          <w:rFonts w:ascii="Titillium Web" w:hAnsi="Titillium Web" w:cs="Arial"/>
          <w:bCs/>
        </w:rPr>
        <w:lastRenderedPageBreak/>
        <w:t>az adózás rendjéről szóló 2017. évi CL. törvény (Art.)</w:t>
      </w:r>
    </w:p>
    <w:p w14:paraId="14B59CB0" w14:textId="12DC866B" w:rsidR="00AB799A" w:rsidRPr="009A71D9" w:rsidRDefault="00AB799A" w:rsidP="00093907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9A71D9">
        <w:rPr>
          <w:rFonts w:ascii="Titillium Web" w:hAnsi="Titillium Web" w:cs="Arial"/>
          <w:bCs/>
        </w:rPr>
        <w:t xml:space="preserve">az adóigazgatási eljárás részletszabályairól szóló 465/2017. (XII. 28.) Korm. rendelet </w:t>
      </w:r>
    </w:p>
    <w:p w14:paraId="45FBE77C" w14:textId="756A1EEF" w:rsidR="00AB799A" w:rsidRPr="009A71D9" w:rsidRDefault="00AB799A" w:rsidP="00093907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9A71D9">
        <w:rPr>
          <w:rFonts w:ascii="Titillium Web" w:hAnsi="Titillium Web" w:cs="Arial"/>
          <w:bCs/>
        </w:rPr>
        <w:t>az illetékekről szóló 1990. évi XCIII. törvény (Itv.)</w:t>
      </w:r>
    </w:p>
    <w:sectPr w:rsidR="00AB799A" w:rsidRPr="009A71D9" w:rsidSect="00093907">
      <w:footerReference w:type="default" r:id="rId12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AB8F3" w14:textId="77777777" w:rsidR="00C85B67" w:rsidRDefault="00C85B67" w:rsidP="00BA0BED">
      <w:pPr>
        <w:spacing w:after="0" w:line="240" w:lineRule="auto"/>
      </w:pPr>
      <w:r>
        <w:separator/>
      </w:r>
    </w:p>
  </w:endnote>
  <w:endnote w:type="continuationSeparator" w:id="0">
    <w:p w14:paraId="70D3787C" w14:textId="77777777" w:rsidR="00C85B67" w:rsidRDefault="00C85B67" w:rsidP="00BA0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tillium Web" w:hAnsi="Titillium Web"/>
      </w:rPr>
      <w:id w:val="1706298702"/>
      <w:docPartObj>
        <w:docPartGallery w:val="Page Numbers (Bottom of Page)"/>
        <w:docPartUnique/>
      </w:docPartObj>
    </w:sdtPr>
    <w:sdtEndPr/>
    <w:sdtContent>
      <w:p w14:paraId="670A5848" w14:textId="62AF3353" w:rsidR="00BA0BED" w:rsidRPr="00BA0BED" w:rsidRDefault="00BA0BED" w:rsidP="00BA0BED">
        <w:pPr>
          <w:pStyle w:val="llb"/>
          <w:jc w:val="right"/>
          <w:rPr>
            <w:rFonts w:ascii="Titillium Web" w:hAnsi="Titillium Web"/>
          </w:rPr>
        </w:pPr>
        <w:r w:rsidRPr="00BA0BED">
          <w:rPr>
            <w:rFonts w:ascii="Titillium Web" w:hAnsi="Titillium Web"/>
          </w:rPr>
          <w:fldChar w:fldCharType="begin"/>
        </w:r>
        <w:r w:rsidRPr="00BA0BED">
          <w:rPr>
            <w:rFonts w:ascii="Titillium Web" w:hAnsi="Titillium Web"/>
          </w:rPr>
          <w:instrText>PAGE   \* MERGEFORMAT</w:instrText>
        </w:r>
        <w:r w:rsidRPr="00BA0BED">
          <w:rPr>
            <w:rFonts w:ascii="Titillium Web" w:hAnsi="Titillium Web"/>
          </w:rPr>
          <w:fldChar w:fldCharType="separate"/>
        </w:r>
        <w:r w:rsidRPr="00BA0BED">
          <w:rPr>
            <w:rFonts w:ascii="Titillium Web" w:hAnsi="Titillium Web"/>
          </w:rPr>
          <w:t>2</w:t>
        </w:r>
        <w:r w:rsidRPr="00BA0BED">
          <w:rPr>
            <w:rFonts w:ascii="Titillium Web" w:hAnsi="Titillium Web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397D4" w14:textId="77777777" w:rsidR="00C85B67" w:rsidRDefault="00C85B67" w:rsidP="00BA0BED">
      <w:pPr>
        <w:spacing w:after="0" w:line="240" w:lineRule="auto"/>
      </w:pPr>
      <w:r>
        <w:separator/>
      </w:r>
    </w:p>
  </w:footnote>
  <w:footnote w:type="continuationSeparator" w:id="0">
    <w:p w14:paraId="25502B6E" w14:textId="77777777" w:rsidR="00C85B67" w:rsidRDefault="00C85B67" w:rsidP="00BA0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12BBE"/>
    <w:multiLevelType w:val="hybridMultilevel"/>
    <w:tmpl w:val="90407CD2"/>
    <w:lvl w:ilvl="0" w:tplc="5FDE450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0C3A7E"/>
    <w:multiLevelType w:val="multilevel"/>
    <w:tmpl w:val="5628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A55557"/>
    <w:multiLevelType w:val="multilevel"/>
    <w:tmpl w:val="CC8A817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tillium Web" w:hAnsi="Titillium Web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4671BC3"/>
    <w:multiLevelType w:val="multilevel"/>
    <w:tmpl w:val="67A8F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00B48"/>
    <w:multiLevelType w:val="multilevel"/>
    <w:tmpl w:val="7FE27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3E42B6B"/>
    <w:multiLevelType w:val="hybridMultilevel"/>
    <w:tmpl w:val="998C13CC"/>
    <w:lvl w:ilvl="0" w:tplc="040E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86D0CE3"/>
    <w:multiLevelType w:val="hybridMultilevel"/>
    <w:tmpl w:val="13146332"/>
    <w:lvl w:ilvl="0" w:tplc="5FDE4504">
      <w:start w:val="1"/>
      <w:numFmt w:val="bullet"/>
      <w:lvlText w:val="−"/>
      <w:lvlJc w:val="left"/>
      <w:pPr>
        <w:ind w:left="1276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7" w15:restartNumberingAfterBreak="0">
    <w:nsid w:val="5ECA2D65"/>
    <w:multiLevelType w:val="hybridMultilevel"/>
    <w:tmpl w:val="AA8E8EC4"/>
    <w:lvl w:ilvl="0" w:tplc="95CAD7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0100622"/>
    <w:multiLevelType w:val="multilevel"/>
    <w:tmpl w:val="32EE41A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tillium Web" w:hAnsi="Titillium Web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0E33E8A"/>
    <w:multiLevelType w:val="multilevel"/>
    <w:tmpl w:val="7FE27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7F02F7B"/>
    <w:multiLevelType w:val="hybridMultilevel"/>
    <w:tmpl w:val="A928E35E"/>
    <w:lvl w:ilvl="0" w:tplc="040E000F">
      <w:start w:val="1"/>
      <w:numFmt w:val="decimal"/>
      <w:lvlText w:val="%1."/>
      <w:lvlJc w:val="left"/>
      <w:pPr>
        <w:ind w:left="2160" w:hanging="360"/>
      </w:pPr>
    </w:lvl>
    <w:lvl w:ilvl="1" w:tplc="040E0019">
      <w:start w:val="1"/>
      <w:numFmt w:val="lowerLetter"/>
      <w:lvlText w:val="%2."/>
      <w:lvlJc w:val="left"/>
      <w:pPr>
        <w:ind w:left="2880" w:hanging="360"/>
      </w:pPr>
    </w:lvl>
    <w:lvl w:ilvl="2" w:tplc="040E001B">
      <w:start w:val="1"/>
      <w:numFmt w:val="lowerRoman"/>
      <w:lvlText w:val="%3."/>
      <w:lvlJc w:val="right"/>
      <w:pPr>
        <w:ind w:left="3600" w:hanging="180"/>
      </w:pPr>
    </w:lvl>
    <w:lvl w:ilvl="3" w:tplc="040E000F">
      <w:start w:val="1"/>
      <w:numFmt w:val="decimal"/>
      <w:lvlText w:val="%4."/>
      <w:lvlJc w:val="left"/>
      <w:pPr>
        <w:ind w:left="4320" w:hanging="360"/>
      </w:pPr>
    </w:lvl>
    <w:lvl w:ilvl="4" w:tplc="040E0019">
      <w:start w:val="1"/>
      <w:numFmt w:val="lowerLetter"/>
      <w:lvlText w:val="%5."/>
      <w:lvlJc w:val="left"/>
      <w:pPr>
        <w:ind w:left="5040" w:hanging="360"/>
      </w:pPr>
    </w:lvl>
    <w:lvl w:ilvl="5" w:tplc="040E001B">
      <w:start w:val="1"/>
      <w:numFmt w:val="lowerRoman"/>
      <w:lvlText w:val="%6."/>
      <w:lvlJc w:val="right"/>
      <w:pPr>
        <w:ind w:left="5760" w:hanging="180"/>
      </w:pPr>
    </w:lvl>
    <w:lvl w:ilvl="6" w:tplc="040E000F">
      <w:start w:val="1"/>
      <w:numFmt w:val="decimal"/>
      <w:lvlText w:val="%7."/>
      <w:lvlJc w:val="left"/>
      <w:pPr>
        <w:ind w:left="6480" w:hanging="360"/>
      </w:pPr>
    </w:lvl>
    <w:lvl w:ilvl="7" w:tplc="040E0019">
      <w:start w:val="1"/>
      <w:numFmt w:val="lowerLetter"/>
      <w:lvlText w:val="%8."/>
      <w:lvlJc w:val="left"/>
      <w:pPr>
        <w:ind w:left="7200" w:hanging="360"/>
      </w:pPr>
    </w:lvl>
    <w:lvl w:ilvl="8" w:tplc="040E001B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6BBF3FFD"/>
    <w:multiLevelType w:val="hybridMultilevel"/>
    <w:tmpl w:val="288C10E8"/>
    <w:lvl w:ilvl="0" w:tplc="5FDE4504">
      <w:start w:val="1"/>
      <w:numFmt w:val="bullet"/>
      <w:lvlText w:val="−"/>
      <w:lvlJc w:val="left"/>
      <w:pPr>
        <w:ind w:left="148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2" w15:restartNumberingAfterBreak="0">
    <w:nsid w:val="7B067489"/>
    <w:multiLevelType w:val="multilevel"/>
    <w:tmpl w:val="D65E59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D545F49"/>
    <w:multiLevelType w:val="hybridMultilevel"/>
    <w:tmpl w:val="9EFCC7C4"/>
    <w:lvl w:ilvl="0" w:tplc="5FDE45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4384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0371752">
    <w:abstractNumId w:val="2"/>
  </w:num>
  <w:num w:numId="3" w16cid:durableId="135100710">
    <w:abstractNumId w:val="12"/>
  </w:num>
  <w:num w:numId="4" w16cid:durableId="1896627125">
    <w:abstractNumId w:val="9"/>
  </w:num>
  <w:num w:numId="5" w16cid:durableId="457916478">
    <w:abstractNumId w:val="4"/>
  </w:num>
  <w:num w:numId="6" w16cid:durableId="1627352211">
    <w:abstractNumId w:val="10"/>
  </w:num>
  <w:num w:numId="7" w16cid:durableId="1645545738">
    <w:abstractNumId w:val="13"/>
  </w:num>
  <w:num w:numId="8" w16cid:durableId="1521775582">
    <w:abstractNumId w:val="3"/>
  </w:num>
  <w:num w:numId="9" w16cid:durableId="139614009">
    <w:abstractNumId w:val="1"/>
  </w:num>
  <w:num w:numId="10" w16cid:durableId="383211938">
    <w:abstractNumId w:val="6"/>
  </w:num>
  <w:num w:numId="11" w16cid:durableId="2018651745">
    <w:abstractNumId w:val="11"/>
  </w:num>
  <w:num w:numId="12" w16cid:durableId="2047169670">
    <w:abstractNumId w:val="8"/>
  </w:num>
  <w:num w:numId="13" w16cid:durableId="948314621">
    <w:abstractNumId w:val="0"/>
  </w:num>
  <w:num w:numId="14" w16cid:durableId="1371540311">
    <w:abstractNumId w:val="7"/>
  </w:num>
  <w:num w:numId="15" w16cid:durableId="1385523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BA2"/>
    <w:rsid w:val="00017CED"/>
    <w:rsid w:val="00093907"/>
    <w:rsid w:val="000A552F"/>
    <w:rsid w:val="000C0FA4"/>
    <w:rsid w:val="000D71B9"/>
    <w:rsid w:val="00111F14"/>
    <w:rsid w:val="001A278C"/>
    <w:rsid w:val="00206823"/>
    <w:rsid w:val="00256724"/>
    <w:rsid w:val="002636EE"/>
    <w:rsid w:val="002A538B"/>
    <w:rsid w:val="002B29CC"/>
    <w:rsid w:val="002E23EA"/>
    <w:rsid w:val="0030522A"/>
    <w:rsid w:val="00383175"/>
    <w:rsid w:val="00386F29"/>
    <w:rsid w:val="003B29C5"/>
    <w:rsid w:val="00404D7E"/>
    <w:rsid w:val="00416991"/>
    <w:rsid w:val="0046452B"/>
    <w:rsid w:val="00472FD2"/>
    <w:rsid w:val="004C261E"/>
    <w:rsid w:val="004D3CED"/>
    <w:rsid w:val="00565BB3"/>
    <w:rsid w:val="005D54B5"/>
    <w:rsid w:val="00600207"/>
    <w:rsid w:val="00611BF7"/>
    <w:rsid w:val="00641459"/>
    <w:rsid w:val="00654C4F"/>
    <w:rsid w:val="006D761E"/>
    <w:rsid w:val="007C38E5"/>
    <w:rsid w:val="007C745A"/>
    <w:rsid w:val="007E15B4"/>
    <w:rsid w:val="008017A4"/>
    <w:rsid w:val="008D376A"/>
    <w:rsid w:val="0093054B"/>
    <w:rsid w:val="00942B91"/>
    <w:rsid w:val="00990248"/>
    <w:rsid w:val="009A71D9"/>
    <w:rsid w:val="009E2626"/>
    <w:rsid w:val="00A0224F"/>
    <w:rsid w:val="00A46F53"/>
    <w:rsid w:val="00A62AD9"/>
    <w:rsid w:val="00A8548E"/>
    <w:rsid w:val="00AA44AD"/>
    <w:rsid w:val="00AB799A"/>
    <w:rsid w:val="00BA0BED"/>
    <w:rsid w:val="00C723DF"/>
    <w:rsid w:val="00C85B67"/>
    <w:rsid w:val="00C92683"/>
    <w:rsid w:val="00CA167F"/>
    <w:rsid w:val="00D4733C"/>
    <w:rsid w:val="00DD6006"/>
    <w:rsid w:val="00DE5DF9"/>
    <w:rsid w:val="00E745C2"/>
    <w:rsid w:val="00FB1F4B"/>
    <w:rsid w:val="00FC2DDF"/>
    <w:rsid w:val="00FE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A40B9"/>
  <w15:chartTrackingRefBased/>
  <w15:docId w15:val="{8FF31C8D-EBE3-4CD7-A22F-36EA1388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E7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E7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E7B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E7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E7B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E7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E7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E7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E7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E7B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E7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E7B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E7BA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E7BA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E7BA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E7BA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E7BA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E7BA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E7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E7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E7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E7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E7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E7BA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E7BA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E7BA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E7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E7BA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E7BA2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unhideWhenUsed/>
    <w:rsid w:val="00FE7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FE7BA2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FE7BA2"/>
    <w:rPr>
      <w:color w:val="467886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65BB3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BA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A0BED"/>
  </w:style>
  <w:style w:type="paragraph" w:styleId="llb">
    <w:name w:val="footer"/>
    <w:basedOn w:val="Norml"/>
    <w:link w:val="llbChar"/>
    <w:uiPriority w:val="99"/>
    <w:unhideWhenUsed/>
    <w:rsid w:val="00BA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0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p-20.asp.lgov.hu/nyitola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hp-20.asp.lgov.hu/nyitolap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erencvaros.h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ohp-20.asp.lgov.hu/nyitola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erencvaros.h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577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Sali-Kiss Krisztina</dc:creator>
  <cp:keywords/>
  <dc:description/>
  <cp:lastModifiedBy>Sali-Kiss Krisztina</cp:lastModifiedBy>
  <cp:revision>9</cp:revision>
  <cp:lastPrinted>2026-10-21T13:36:00Z</cp:lastPrinted>
  <dcterms:created xsi:type="dcterms:W3CDTF">2026-09-28T08:44:00Z</dcterms:created>
  <dcterms:modified xsi:type="dcterms:W3CDTF">2026-10-21T13:36:00Z</dcterms:modified>
</cp:coreProperties>
</file>