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2B1C9" w14:textId="6CDA7876" w:rsidR="00FE7BA2" w:rsidRPr="00A06FB9" w:rsidRDefault="00E87F5B" w:rsidP="009F59EE">
      <w:pPr>
        <w:spacing w:after="240" w:line="240" w:lineRule="auto"/>
        <w:rPr>
          <w:rFonts w:ascii="Titillium Web" w:hAnsi="Titillium Web" w:cs="Times New Roman"/>
          <w:b/>
          <w:bCs/>
        </w:rPr>
      </w:pPr>
      <w:r>
        <w:rPr>
          <w:rFonts w:ascii="Titillium Web" w:hAnsi="Titillium Web" w:cs="Times New Roman"/>
          <w:b/>
          <w:bCs/>
        </w:rPr>
        <w:t xml:space="preserve">TÁJÉKOZTATÓ </w:t>
      </w:r>
      <w:r w:rsidRPr="00A06FB9">
        <w:rPr>
          <w:rFonts w:ascii="Titillium Web" w:hAnsi="Titillium Web" w:cs="Times New Roman"/>
          <w:b/>
          <w:bCs/>
        </w:rPr>
        <w:t>IDEGENFORGALMI ADÓ</w:t>
      </w:r>
      <w:r>
        <w:rPr>
          <w:rFonts w:ascii="Titillium Web" w:hAnsi="Titillium Web" w:cs="Times New Roman"/>
          <w:b/>
          <w:bCs/>
        </w:rPr>
        <w:t xml:space="preserve"> </w:t>
      </w:r>
      <w:r w:rsidRPr="00A06FB9">
        <w:rPr>
          <w:rFonts w:ascii="Titillium Web" w:hAnsi="Titillium Web" w:cs="Times New Roman"/>
          <w:b/>
          <w:bCs/>
        </w:rPr>
        <w:t>BEVALLÁS</w:t>
      </w:r>
      <w:r>
        <w:rPr>
          <w:rFonts w:ascii="Titillium Web" w:hAnsi="Titillium Web" w:cs="Times New Roman"/>
          <w:b/>
          <w:bCs/>
        </w:rPr>
        <w:t>ÁRÓL</w:t>
      </w:r>
    </w:p>
    <w:p w14:paraId="7BFC5325" w14:textId="18858A62" w:rsidR="00FE7BA2" w:rsidRPr="00A06FB9" w:rsidRDefault="00E7583D" w:rsidP="00E87F5B">
      <w:pPr>
        <w:pStyle w:val="NormlWeb"/>
        <w:numPr>
          <w:ilvl w:val="0"/>
          <w:numId w:val="2"/>
        </w:numPr>
        <w:shd w:val="clear" w:color="auto" w:fill="FFFFFF"/>
        <w:tabs>
          <w:tab w:val="left" w:pos="284"/>
        </w:tabs>
        <w:spacing w:before="0" w:beforeAutospacing="0" w:after="120" w:afterAutospacing="0"/>
        <w:ind w:left="0" w:firstLine="0"/>
        <w:rPr>
          <w:rStyle w:val="Kiemels2"/>
          <w:rFonts w:ascii="Titillium Web" w:eastAsiaTheme="minorHAnsi" w:hAnsi="Titillium Web"/>
          <w:bdr w:val="none" w:sz="0" w:space="0" w:color="auto" w:frame="1"/>
          <w:lang w:eastAsia="en-US"/>
        </w:rPr>
      </w:pPr>
      <w:r w:rsidRPr="00A06FB9">
        <w:rPr>
          <w:rStyle w:val="Kiemels2"/>
          <w:rFonts w:ascii="Titillium Web" w:eastAsiaTheme="minorHAnsi" w:hAnsi="Titillium Web"/>
          <w:bdr w:val="none" w:sz="0" w:space="0" w:color="auto" w:frame="1"/>
          <w:lang w:eastAsia="en-US"/>
        </w:rPr>
        <w:t>Kinek kell idegenforgalmi adót fizetnie?</w:t>
      </w:r>
    </w:p>
    <w:p w14:paraId="3A63DA4A" w14:textId="27D5F93D" w:rsidR="00E7583D" w:rsidRPr="00A06FB9" w:rsidRDefault="00E7583D" w:rsidP="009F59EE">
      <w:pPr>
        <w:pStyle w:val="NormlWeb"/>
        <w:numPr>
          <w:ilvl w:val="1"/>
          <w:numId w:val="13"/>
        </w:numPr>
        <w:shd w:val="clear" w:color="auto" w:fill="FFFFFF"/>
        <w:spacing w:before="0" w:beforeAutospacing="0" w:after="120" w:afterAutospacing="0"/>
        <w:ind w:left="993" w:hanging="567"/>
        <w:jc w:val="both"/>
        <w:rPr>
          <w:rFonts w:ascii="Titillium Web" w:eastAsiaTheme="minorHAnsi" w:hAnsi="Titillium Web"/>
          <w:bdr w:val="none" w:sz="0" w:space="0" w:color="auto" w:frame="1"/>
          <w:lang w:eastAsia="en-US"/>
        </w:rPr>
      </w:pPr>
      <w:r w:rsidRPr="00A06FB9">
        <w:rPr>
          <w:rFonts w:ascii="Titillium Web" w:eastAsiaTheme="minorHAnsi" w:hAnsi="Titillium Web"/>
          <w:b/>
          <w:bCs/>
          <w:bdr w:val="none" w:sz="0" w:space="0" w:color="auto" w:frame="1"/>
          <w:lang w:eastAsia="en-US"/>
        </w:rPr>
        <w:t>Annak a magánszemélynek</w:t>
      </w:r>
      <w:r w:rsidRPr="00A06FB9">
        <w:rPr>
          <w:rFonts w:ascii="Titillium Web" w:eastAsiaTheme="minorHAnsi" w:hAnsi="Titillium Web"/>
          <w:bdr w:val="none" w:sz="0" w:space="0" w:color="auto" w:frame="1"/>
          <w:lang w:eastAsia="en-US"/>
        </w:rPr>
        <w:t xml:space="preserve">, aki nem állandó lakosként Budapest Főváros IX. kerület Ferencváros Önkormányzatának (a továbbiakban: önkormányzat) illetékességi területén található kereskedelmi vagy magánszálláshelyen </w:t>
      </w:r>
      <w:r w:rsidRPr="00A06FB9">
        <w:rPr>
          <w:rFonts w:ascii="Titillium Web" w:eastAsiaTheme="minorHAnsi" w:hAnsi="Titillium Web"/>
          <w:b/>
          <w:bCs/>
          <w:bdr w:val="none" w:sz="0" w:space="0" w:color="auto" w:frame="1"/>
          <w:lang w:eastAsia="en-US"/>
        </w:rPr>
        <w:t>legalább egy vendégéjszakát eltölt</w:t>
      </w:r>
      <w:r w:rsidRPr="00A06FB9">
        <w:rPr>
          <w:rFonts w:ascii="Titillium Web" w:eastAsiaTheme="minorHAnsi" w:hAnsi="Titillium Web"/>
          <w:bdr w:val="none" w:sz="0" w:space="0" w:color="auto" w:frame="1"/>
          <w:lang w:eastAsia="en-US"/>
        </w:rPr>
        <w:t>.</w:t>
      </w:r>
    </w:p>
    <w:p w14:paraId="784BBB4D" w14:textId="77777777" w:rsidR="00D801F4" w:rsidRPr="00A06FB9" w:rsidRDefault="00D801F4" w:rsidP="00E87F5B">
      <w:pPr>
        <w:pStyle w:val="NormlWeb"/>
        <w:numPr>
          <w:ilvl w:val="1"/>
          <w:numId w:val="13"/>
        </w:numPr>
        <w:shd w:val="clear" w:color="auto" w:fill="FFFFFF"/>
        <w:spacing w:before="0" w:beforeAutospacing="0" w:after="0" w:afterAutospacing="0"/>
        <w:ind w:left="993" w:hanging="567"/>
        <w:jc w:val="both"/>
        <w:rPr>
          <w:rFonts w:ascii="Titillium Web" w:eastAsiaTheme="minorHAnsi" w:hAnsi="Titillium Web"/>
          <w:bdr w:val="none" w:sz="0" w:space="0" w:color="auto" w:frame="1"/>
          <w:lang w:eastAsia="en-US"/>
        </w:rPr>
      </w:pPr>
      <w:r w:rsidRPr="00A06FB9">
        <w:rPr>
          <w:rFonts w:ascii="Titillium Web" w:eastAsiaTheme="minorHAnsi" w:hAnsi="Titillium Web"/>
          <w:bdr w:val="none" w:sz="0" w:space="0" w:color="auto" w:frame="1"/>
          <w:lang w:eastAsia="en-US"/>
        </w:rPr>
        <w:t xml:space="preserve">Az idegenforgalmi adókötelezettség körébe nem tartozik bele a nem szálláshely-szolgáltatás rendeltetésű ingatlan tartós tartózkodás céljából történő használatba adása </w:t>
      </w:r>
    </w:p>
    <w:p w14:paraId="3DCBFCD9" w14:textId="18AEDBA2" w:rsidR="00D801F4" w:rsidRPr="00A06FB9" w:rsidRDefault="00D801F4" w:rsidP="00E87F5B">
      <w:pPr>
        <w:pStyle w:val="NormlWeb"/>
        <w:numPr>
          <w:ilvl w:val="2"/>
          <w:numId w:val="15"/>
        </w:numPr>
        <w:shd w:val="clear" w:color="auto" w:fill="FFFFFF"/>
        <w:tabs>
          <w:tab w:val="left" w:pos="1276"/>
        </w:tabs>
        <w:spacing w:before="0" w:beforeAutospacing="0" w:after="0" w:afterAutospacing="0"/>
        <w:ind w:left="993" w:firstLine="0"/>
        <w:jc w:val="both"/>
        <w:rPr>
          <w:rFonts w:ascii="Titillium Web" w:eastAsiaTheme="minorHAnsi" w:hAnsi="Titillium Web"/>
          <w:bdr w:val="none" w:sz="0" w:space="0" w:color="auto" w:frame="1"/>
          <w:lang w:eastAsia="en-US"/>
        </w:rPr>
      </w:pPr>
      <w:r w:rsidRPr="00A06FB9">
        <w:rPr>
          <w:rFonts w:ascii="Titillium Web" w:eastAsiaTheme="minorHAnsi" w:hAnsi="Titillium Web"/>
          <w:bdr w:val="none" w:sz="0" w:space="0" w:color="auto" w:frame="1"/>
          <w:lang w:eastAsia="en-US"/>
        </w:rPr>
        <w:t>lakásbérlet</w:t>
      </w:r>
    </w:p>
    <w:p w14:paraId="5AC1A386" w14:textId="52A2ECEE" w:rsidR="00D801F4" w:rsidRPr="00A06FB9" w:rsidRDefault="00D801F4" w:rsidP="00E87F5B">
      <w:pPr>
        <w:pStyle w:val="NormlWeb"/>
        <w:numPr>
          <w:ilvl w:val="2"/>
          <w:numId w:val="15"/>
        </w:numPr>
        <w:shd w:val="clear" w:color="auto" w:fill="FFFFFF"/>
        <w:tabs>
          <w:tab w:val="left" w:pos="1276"/>
        </w:tabs>
        <w:spacing w:before="0" w:beforeAutospacing="0" w:after="0" w:afterAutospacing="0"/>
        <w:ind w:left="993" w:firstLine="0"/>
        <w:jc w:val="both"/>
        <w:rPr>
          <w:rFonts w:ascii="Titillium Web" w:eastAsiaTheme="minorHAnsi" w:hAnsi="Titillium Web"/>
          <w:bdr w:val="none" w:sz="0" w:space="0" w:color="auto" w:frame="1"/>
          <w:lang w:eastAsia="en-US"/>
        </w:rPr>
      </w:pPr>
      <w:r w:rsidRPr="00A06FB9">
        <w:rPr>
          <w:rFonts w:ascii="Titillium Web" w:eastAsiaTheme="minorHAnsi" w:hAnsi="Titillium Web"/>
          <w:bdr w:val="none" w:sz="0" w:space="0" w:color="auto" w:frame="1"/>
          <w:lang w:eastAsia="en-US"/>
        </w:rPr>
        <w:t>házbérlet</w:t>
      </w:r>
    </w:p>
    <w:p w14:paraId="2EE20472" w14:textId="6C2A2AA5" w:rsidR="00D801F4" w:rsidRPr="00A06FB9" w:rsidRDefault="00D801F4" w:rsidP="00E87F5B">
      <w:pPr>
        <w:pStyle w:val="NormlWeb"/>
        <w:numPr>
          <w:ilvl w:val="2"/>
          <w:numId w:val="15"/>
        </w:numPr>
        <w:shd w:val="clear" w:color="auto" w:fill="FFFFFF"/>
        <w:tabs>
          <w:tab w:val="left" w:pos="1276"/>
        </w:tabs>
        <w:spacing w:before="0" w:beforeAutospacing="0" w:after="0" w:afterAutospacing="0"/>
        <w:ind w:left="993" w:firstLine="0"/>
        <w:jc w:val="both"/>
        <w:rPr>
          <w:rFonts w:ascii="Titillium Web" w:eastAsiaTheme="minorHAnsi" w:hAnsi="Titillium Web"/>
          <w:bdr w:val="none" w:sz="0" w:space="0" w:color="auto" w:frame="1"/>
          <w:lang w:eastAsia="en-US"/>
        </w:rPr>
      </w:pPr>
      <w:r w:rsidRPr="00A06FB9">
        <w:rPr>
          <w:rFonts w:ascii="Titillium Web" w:eastAsiaTheme="minorHAnsi" w:hAnsi="Titillium Web"/>
          <w:bdr w:val="none" w:sz="0" w:space="0" w:color="auto" w:frame="1"/>
          <w:lang w:eastAsia="en-US"/>
        </w:rPr>
        <w:t xml:space="preserve">albérlet </w:t>
      </w:r>
    </w:p>
    <w:p w14:paraId="04DFA6FD" w14:textId="72554DA8" w:rsidR="00D801F4" w:rsidRPr="00A06FB9" w:rsidRDefault="00D801F4" w:rsidP="00E87F5B">
      <w:pPr>
        <w:pStyle w:val="NormlWeb"/>
        <w:numPr>
          <w:ilvl w:val="2"/>
          <w:numId w:val="15"/>
        </w:numPr>
        <w:shd w:val="clear" w:color="auto" w:fill="FFFFFF"/>
        <w:tabs>
          <w:tab w:val="left" w:pos="1276"/>
        </w:tabs>
        <w:spacing w:before="0" w:beforeAutospacing="0" w:after="0" w:afterAutospacing="0"/>
        <w:ind w:left="993" w:firstLine="0"/>
        <w:jc w:val="both"/>
        <w:rPr>
          <w:rFonts w:ascii="Titillium Web" w:eastAsiaTheme="minorHAnsi" w:hAnsi="Titillium Web"/>
          <w:bdr w:val="none" w:sz="0" w:space="0" w:color="auto" w:frame="1"/>
          <w:lang w:eastAsia="en-US"/>
        </w:rPr>
      </w:pPr>
      <w:r w:rsidRPr="00A06FB9">
        <w:rPr>
          <w:rFonts w:ascii="Titillium Web" w:eastAsiaTheme="minorHAnsi" w:hAnsi="Titillium Web"/>
          <w:bdr w:val="none" w:sz="0" w:space="0" w:color="auto" w:frame="1"/>
          <w:lang w:eastAsia="en-US"/>
        </w:rPr>
        <w:t xml:space="preserve">ágybérlet </w:t>
      </w:r>
    </w:p>
    <w:p w14:paraId="5D9659BB" w14:textId="20B618BC" w:rsidR="00D801F4" w:rsidRPr="00A06FB9" w:rsidRDefault="00D801F4" w:rsidP="00E87F5B">
      <w:pPr>
        <w:pStyle w:val="NormlWeb"/>
        <w:shd w:val="clear" w:color="auto" w:fill="FFFFFF"/>
        <w:spacing w:before="0" w:beforeAutospacing="0" w:after="120" w:afterAutospacing="0"/>
        <w:ind w:left="993"/>
        <w:jc w:val="both"/>
        <w:rPr>
          <w:rFonts w:ascii="Titillium Web" w:eastAsiaTheme="minorHAnsi" w:hAnsi="Titillium Web"/>
          <w:bdr w:val="none" w:sz="0" w:space="0" w:color="auto" w:frame="1"/>
          <w:lang w:eastAsia="en-US"/>
        </w:rPr>
      </w:pPr>
      <w:r w:rsidRPr="00A06FB9">
        <w:rPr>
          <w:rFonts w:ascii="Titillium Web" w:eastAsiaTheme="minorHAnsi" w:hAnsi="Titillium Web"/>
          <w:bdr w:val="none" w:sz="0" w:space="0" w:color="auto" w:frame="1"/>
          <w:lang w:eastAsia="en-US"/>
        </w:rPr>
        <w:t>keretében.</w:t>
      </w:r>
    </w:p>
    <w:p w14:paraId="04FD7A4B" w14:textId="35A4705E" w:rsidR="00197680" w:rsidRPr="000D0D47" w:rsidRDefault="00E7583D" w:rsidP="00E87F5B">
      <w:pPr>
        <w:pStyle w:val="NormlWeb"/>
        <w:numPr>
          <w:ilvl w:val="0"/>
          <w:numId w:val="2"/>
        </w:numPr>
        <w:shd w:val="clear" w:color="auto" w:fill="FFFFFF"/>
        <w:tabs>
          <w:tab w:val="left" w:pos="284"/>
        </w:tabs>
        <w:spacing w:before="0" w:beforeAutospacing="0" w:after="120" w:afterAutospacing="0"/>
        <w:ind w:left="0" w:firstLine="0"/>
        <w:rPr>
          <w:rFonts w:ascii="Titillium Web" w:hAnsi="Titillium Web"/>
          <w:b/>
          <w:bCs/>
          <w:lang w:eastAsia="en-US"/>
        </w:rPr>
      </w:pPr>
      <w:r w:rsidRPr="00A06FB9">
        <w:rPr>
          <w:rStyle w:val="Kiemels2"/>
          <w:rFonts w:ascii="Titillium Web" w:hAnsi="Titillium Web"/>
          <w:lang w:eastAsia="en-US"/>
        </w:rPr>
        <w:t>Ki mentesül a fizetési kötelezettség alól?</w:t>
      </w:r>
    </w:p>
    <w:p w14:paraId="121748BE" w14:textId="2A18A2D8" w:rsidR="00197680" w:rsidRPr="00A06FB9" w:rsidRDefault="00197680" w:rsidP="009F59EE">
      <w:pPr>
        <w:pStyle w:val="NormlWeb"/>
        <w:numPr>
          <w:ilvl w:val="1"/>
          <w:numId w:val="2"/>
        </w:numPr>
        <w:shd w:val="clear" w:color="auto" w:fill="FFFFFF"/>
        <w:spacing w:before="0" w:beforeAutospacing="0" w:after="120" w:afterAutospacing="0"/>
        <w:ind w:left="992" w:hanging="567"/>
        <w:jc w:val="both"/>
        <w:rPr>
          <w:rFonts w:ascii="Titillium Web" w:eastAsiaTheme="minorHAnsi" w:hAnsi="Titillium Web"/>
          <w:bdr w:val="none" w:sz="0" w:space="0" w:color="auto" w:frame="1"/>
          <w:lang w:eastAsia="en-US"/>
        </w:rPr>
      </w:pPr>
      <w:r w:rsidRPr="00A06FB9">
        <w:rPr>
          <w:rFonts w:ascii="Titillium Web" w:eastAsiaTheme="minorHAnsi" w:hAnsi="Titillium Web"/>
          <w:bdr w:val="none" w:sz="0" w:space="0" w:color="auto" w:frame="1"/>
          <w:lang w:eastAsia="en-US"/>
        </w:rPr>
        <w:t>A</w:t>
      </w:r>
      <w:r w:rsidR="00E87F5B">
        <w:rPr>
          <w:rFonts w:ascii="Titillium Web" w:eastAsiaTheme="minorHAnsi" w:hAnsi="Titillium Web"/>
          <w:bdr w:val="none" w:sz="0" w:space="0" w:color="auto" w:frame="1"/>
          <w:lang w:eastAsia="en-US"/>
        </w:rPr>
        <w:t xml:space="preserve"> helyi adókról szóló 1990. évi C. törvény alapján </w:t>
      </w:r>
      <w:r w:rsidRPr="00A06FB9">
        <w:rPr>
          <w:rFonts w:ascii="Titillium Web" w:eastAsiaTheme="minorHAnsi" w:hAnsi="Titillium Web"/>
          <w:bdr w:val="none" w:sz="0" w:space="0" w:color="auto" w:frame="1"/>
          <w:lang w:eastAsia="en-US"/>
        </w:rPr>
        <w:t>mentes</w:t>
      </w:r>
      <w:r w:rsidR="00E87F5B">
        <w:rPr>
          <w:rFonts w:ascii="Titillium Web" w:eastAsiaTheme="minorHAnsi" w:hAnsi="Titillium Web"/>
          <w:bdr w:val="none" w:sz="0" w:space="0" w:color="auto" w:frame="1"/>
          <w:lang w:eastAsia="en-US"/>
        </w:rPr>
        <w:t xml:space="preserve"> az adó alól</w:t>
      </w:r>
      <w:r w:rsidRPr="00A06FB9">
        <w:rPr>
          <w:rFonts w:ascii="Titillium Web" w:eastAsiaTheme="minorHAnsi" w:hAnsi="Titillium Web"/>
          <w:bdr w:val="none" w:sz="0" w:space="0" w:color="auto" w:frame="1"/>
          <w:lang w:eastAsia="en-US"/>
        </w:rPr>
        <w:t>:</w:t>
      </w:r>
    </w:p>
    <w:p w14:paraId="377B04C6" w14:textId="6A95DB9F" w:rsidR="00FB1F4B" w:rsidRPr="00A06FB9" w:rsidRDefault="00E7583D" w:rsidP="009F59EE">
      <w:pPr>
        <w:pStyle w:val="NormlWeb"/>
        <w:numPr>
          <w:ilvl w:val="2"/>
          <w:numId w:val="2"/>
        </w:numPr>
        <w:shd w:val="clear" w:color="auto" w:fill="FFFFFF"/>
        <w:spacing w:before="0" w:beforeAutospacing="0" w:after="120" w:afterAutospacing="0"/>
        <w:ind w:left="1418"/>
        <w:jc w:val="both"/>
        <w:rPr>
          <w:rFonts w:ascii="Titillium Web" w:eastAsiaTheme="minorHAnsi" w:hAnsi="Titillium Web"/>
          <w:bdr w:val="none" w:sz="0" w:space="0" w:color="auto" w:frame="1"/>
          <w:lang w:eastAsia="en-US"/>
        </w:rPr>
      </w:pPr>
      <w:r w:rsidRPr="00A06FB9">
        <w:rPr>
          <w:rFonts w:ascii="Titillium Web" w:eastAsiaTheme="minorHAnsi" w:hAnsi="Titillium Web"/>
          <w:bdr w:val="none" w:sz="0" w:space="0" w:color="auto" w:frame="1"/>
          <w:lang w:eastAsia="en-US"/>
        </w:rPr>
        <w:t>A 18. életévét be nem töltött magánszemély</w:t>
      </w:r>
      <w:r w:rsidR="00FB1F4B" w:rsidRPr="00A06FB9">
        <w:rPr>
          <w:rFonts w:ascii="Titillium Web" w:eastAsiaTheme="minorHAnsi" w:hAnsi="Titillium Web"/>
          <w:bdr w:val="none" w:sz="0" w:space="0" w:color="auto" w:frame="1"/>
          <w:lang w:eastAsia="en-US"/>
        </w:rPr>
        <w:t>.</w:t>
      </w:r>
    </w:p>
    <w:p w14:paraId="30A428C8" w14:textId="15C0C2FF" w:rsidR="00FB1F4B" w:rsidRPr="00A06FB9" w:rsidRDefault="00E7583D" w:rsidP="009F59EE">
      <w:pPr>
        <w:pStyle w:val="NormlWeb"/>
        <w:numPr>
          <w:ilvl w:val="2"/>
          <w:numId w:val="2"/>
        </w:numPr>
        <w:shd w:val="clear" w:color="auto" w:fill="FFFFFF"/>
        <w:spacing w:before="0" w:beforeAutospacing="0" w:after="120" w:afterAutospacing="0"/>
        <w:ind w:left="1418"/>
        <w:jc w:val="both"/>
        <w:rPr>
          <w:rFonts w:ascii="Titillium Web" w:eastAsiaTheme="minorHAnsi" w:hAnsi="Titillium Web"/>
          <w:bdr w:val="none" w:sz="0" w:space="0" w:color="auto" w:frame="1"/>
          <w:lang w:eastAsia="en-US"/>
        </w:rPr>
      </w:pPr>
      <w:r w:rsidRPr="00A06FB9">
        <w:rPr>
          <w:rFonts w:ascii="Titillium Web" w:eastAsiaTheme="minorHAnsi" w:hAnsi="Titillium Web"/>
          <w:bdr w:val="none" w:sz="0" w:space="0" w:color="auto" w:frame="1"/>
          <w:lang w:eastAsia="en-US"/>
        </w:rPr>
        <w:t>A gyógyintézetben fekvőbeteg szakellátásban részesülő vagy szociális intézményben ellátott magánszemély</w:t>
      </w:r>
      <w:r w:rsidR="00FB1F4B" w:rsidRPr="00A06FB9">
        <w:rPr>
          <w:rFonts w:ascii="Titillium Web" w:eastAsiaTheme="minorHAnsi" w:hAnsi="Titillium Web"/>
          <w:bdr w:val="none" w:sz="0" w:space="0" w:color="auto" w:frame="1"/>
          <w:lang w:eastAsia="en-US"/>
        </w:rPr>
        <w:t>.</w:t>
      </w:r>
    </w:p>
    <w:p w14:paraId="425378C0" w14:textId="17D5E036" w:rsidR="002B29CC" w:rsidRPr="00A06FB9" w:rsidRDefault="00E7583D" w:rsidP="009F59EE">
      <w:pPr>
        <w:pStyle w:val="NormlWeb"/>
        <w:numPr>
          <w:ilvl w:val="2"/>
          <w:numId w:val="2"/>
        </w:numPr>
        <w:shd w:val="clear" w:color="auto" w:fill="FFFFFF"/>
        <w:spacing w:before="0" w:beforeAutospacing="0" w:after="120" w:afterAutospacing="0"/>
        <w:ind w:left="1418"/>
        <w:jc w:val="both"/>
        <w:rPr>
          <w:rFonts w:ascii="Titillium Web" w:eastAsiaTheme="minorHAnsi" w:hAnsi="Titillium Web"/>
          <w:bdr w:val="none" w:sz="0" w:space="0" w:color="auto" w:frame="1"/>
          <w:lang w:eastAsia="en-US"/>
        </w:rPr>
      </w:pPr>
      <w:r w:rsidRPr="00A06FB9">
        <w:rPr>
          <w:rFonts w:ascii="Titillium Web" w:eastAsiaTheme="minorHAnsi" w:hAnsi="Titillium Web"/>
          <w:bdr w:val="none" w:sz="0" w:space="0" w:color="auto" w:frame="1"/>
          <w:lang w:eastAsia="en-US"/>
        </w:rPr>
        <w:t>A közép- és felsőfokú oktatási intézménynél tanulói vagy hallgatói jogviszony alapján, hatóság vagy bíróság intézkedése folytán, a szakképzés keretében, a közszolgálati kötelezettség teljesítése, vagy a településen székhellyel, vagy telephellyel rendelkező vállalkozó esetén vállalkozási tevékenység vagy ezen vállalkozó munkavállalója által folytatott munkavégzés céljából az önkormányzat illetékességi területén tartózkodó magánszemély</w:t>
      </w:r>
      <w:r w:rsidR="00383175" w:rsidRPr="00A06FB9">
        <w:rPr>
          <w:rFonts w:ascii="Titillium Web" w:eastAsiaTheme="minorHAnsi" w:hAnsi="Titillium Web"/>
          <w:bdr w:val="none" w:sz="0" w:space="0" w:color="auto" w:frame="1"/>
          <w:lang w:eastAsia="en-US"/>
        </w:rPr>
        <w:t xml:space="preserve">. </w:t>
      </w:r>
    </w:p>
    <w:p w14:paraId="5E1DA23F" w14:textId="6B36F48E" w:rsidR="000C0FA4" w:rsidRPr="00A06FB9" w:rsidRDefault="00E7583D" w:rsidP="009F59EE">
      <w:pPr>
        <w:pStyle w:val="NormlWeb"/>
        <w:numPr>
          <w:ilvl w:val="2"/>
          <w:numId w:val="2"/>
        </w:numPr>
        <w:shd w:val="clear" w:color="auto" w:fill="FFFFFF"/>
        <w:spacing w:before="0" w:beforeAutospacing="0" w:after="120" w:afterAutospacing="0"/>
        <w:ind w:left="1418"/>
        <w:jc w:val="both"/>
        <w:rPr>
          <w:rFonts w:ascii="Titillium Web" w:eastAsiaTheme="minorHAnsi" w:hAnsi="Titillium Web"/>
          <w:bdr w:val="none" w:sz="0" w:space="0" w:color="auto" w:frame="1"/>
          <w:lang w:eastAsia="en-US"/>
        </w:rPr>
      </w:pPr>
      <w:r w:rsidRPr="00A06FB9">
        <w:rPr>
          <w:rFonts w:ascii="Titillium Web" w:eastAsiaTheme="minorHAnsi" w:hAnsi="Titillium Web"/>
          <w:bdr w:val="none" w:sz="0" w:space="0" w:color="auto" w:frame="1"/>
          <w:lang w:eastAsia="en-US"/>
        </w:rPr>
        <w:t>Aki az önkormányzat illetékességi területén lévő üdülő tulajdonosa vagy bérlője, továbbá a használati jogosultság időtartamára a lakásszövetkezet tulajdonában álló üdülő használati jogával rendelkező lakásszövetkezeti tag, illetőleg a tulajdonos, a bérlő hozzátartozója, valamint a lakásszövetkezet tulajdonában álló üdülő használati jogával rendelkező lakásszövetkezeti tag használati jogosultságának időtartamára annak a Polgári Törvénykönyv szerinti hozzátartozója</w:t>
      </w:r>
      <w:r w:rsidR="00383175" w:rsidRPr="00A06FB9">
        <w:rPr>
          <w:rFonts w:ascii="Titillium Web" w:eastAsiaTheme="minorHAnsi" w:hAnsi="Titillium Web"/>
          <w:bdr w:val="none" w:sz="0" w:space="0" w:color="auto" w:frame="1"/>
          <w:lang w:eastAsia="en-US"/>
        </w:rPr>
        <w:t xml:space="preserve">. </w:t>
      </w:r>
    </w:p>
    <w:p w14:paraId="54BB2C72" w14:textId="42D51F33" w:rsidR="00E7583D" w:rsidRPr="00A06FB9" w:rsidRDefault="00E7583D" w:rsidP="009F59EE">
      <w:pPr>
        <w:pStyle w:val="NormlWeb"/>
        <w:numPr>
          <w:ilvl w:val="2"/>
          <w:numId w:val="2"/>
        </w:numPr>
        <w:shd w:val="clear" w:color="auto" w:fill="FFFFFF"/>
        <w:spacing w:before="0" w:beforeAutospacing="0" w:after="120" w:afterAutospacing="0"/>
        <w:ind w:left="1418"/>
        <w:jc w:val="both"/>
        <w:rPr>
          <w:rFonts w:ascii="Titillium Web" w:eastAsiaTheme="minorHAnsi" w:hAnsi="Titillium Web"/>
          <w:bdr w:val="none" w:sz="0" w:space="0" w:color="auto" w:frame="1"/>
          <w:lang w:eastAsia="en-US"/>
        </w:rPr>
      </w:pPr>
      <w:r w:rsidRPr="00A06FB9">
        <w:rPr>
          <w:rFonts w:ascii="Titillium Web" w:eastAsiaTheme="minorHAnsi" w:hAnsi="Titillium Web"/>
          <w:bdr w:val="none" w:sz="0" w:space="0" w:color="auto" w:frame="1"/>
          <w:lang w:eastAsia="en-US"/>
        </w:rPr>
        <w:lastRenderedPageBreak/>
        <w:t>Az egyházi jogi személy tulajdonában lévő építményben, telken vendégéjszakát – kizárólag az egyházi jogi személy hitéleti tevékenységéhez kapcsolódó részvétel céljából – eltöltő egyházi személy.</w:t>
      </w:r>
    </w:p>
    <w:p w14:paraId="59FC6D6B" w14:textId="4C15FAFD" w:rsidR="00E7583D" w:rsidRDefault="00E7583D" w:rsidP="009F59EE">
      <w:pPr>
        <w:pStyle w:val="NormlWeb"/>
        <w:numPr>
          <w:ilvl w:val="2"/>
          <w:numId w:val="2"/>
        </w:numPr>
        <w:shd w:val="clear" w:color="auto" w:fill="FFFFFF"/>
        <w:spacing w:before="0" w:beforeAutospacing="0" w:after="120" w:afterAutospacing="0"/>
        <w:ind w:left="1418"/>
        <w:jc w:val="both"/>
        <w:rPr>
          <w:rFonts w:ascii="Titillium Web" w:eastAsiaTheme="minorHAnsi" w:hAnsi="Titillium Web"/>
          <w:bdr w:val="none" w:sz="0" w:space="0" w:color="auto" w:frame="1"/>
          <w:lang w:eastAsia="en-US"/>
        </w:rPr>
      </w:pPr>
      <w:r w:rsidRPr="00A06FB9">
        <w:rPr>
          <w:rFonts w:ascii="Titillium Web" w:eastAsiaTheme="minorHAnsi" w:hAnsi="Titillium Web"/>
          <w:bdr w:val="none" w:sz="0" w:space="0" w:color="auto" w:frame="1"/>
          <w:lang w:eastAsia="en-US"/>
        </w:rPr>
        <w:t>Honvédelmi szervek, a rendvédelmi feladatokat ellátó szervek vagy a polgári nemzetbiztonsági szolgálatok állományába tartozó személy hozzátartozója, ha a vendégéjszakát az állomány tagjának látogatása miatt tölti a szolgálatteljesítés vagy a munkavégzés helye szerinti településen lévő, a honvédelmi vagy rendvédelmi feladatokat ellátó szerv, vagy a polgári nemzetbiztonsági szolgálat rendelkezése alatt álló, szolgálati érdekből fenntartott szálláshelyen, feltéve, ha a településen való szolgálatteljesítés, munkavégzés időtartama legalább egybefüggő 30 nap.</w:t>
      </w:r>
    </w:p>
    <w:p w14:paraId="075E7444" w14:textId="0E2C025A" w:rsidR="000D0D47" w:rsidRPr="00A06FB9" w:rsidRDefault="000D0D47" w:rsidP="000D0D47">
      <w:pPr>
        <w:pStyle w:val="NormlWeb"/>
        <w:numPr>
          <w:ilvl w:val="1"/>
          <w:numId w:val="2"/>
        </w:numPr>
        <w:shd w:val="clear" w:color="auto" w:fill="FFFFFF"/>
        <w:spacing w:before="0" w:beforeAutospacing="0" w:after="120" w:afterAutospacing="0"/>
        <w:jc w:val="both"/>
        <w:rPr>
          <w:rFonts w:ascii="Titillium Web" w:eastAsiaTheme="minorHAnsi" w:hAnsi="Titillium Web"/>
          <w:bdr w:val="none" w:sz="0" w:space="0" w:color="auto" w:frame="1"/>
          <w:lang w:eastAsia="en-US"/>
        </w:rPr>
      </w:pPr>
      <w:r w:rsidRPr="00A06FB9">
        <w:rPr>
          <w:rFonts w:ascii="Titillium Web" w:eastAsiaTheme="minorHAnsi" w:hAnsi="Titillium Web"/>
          <w:bdr w:val="none" w:sz="0" w:space="0" w:color="auto" w:frame="1"/>
          <w:lang w:eastAsia="en-US"/>
        </w:rPr>
        <w:t>A mentességeket nyilatkozattal és nyilvántartással kell igazolni. Az adómentességre igényt tartó magánszemély az adatszolgáltatásra nem köteles, de ha az adatait és igazolását nem mutatja be (önkéntes adatszolgáltatás) az adóbeszedésre kötelezettnek, akkor a mentességet nem veheti igénybe. Az adómentességet a szállásadó csak a vendég által szabályszerűen kitöltött nyilatkozat alapján érvényesítheti</w:t>
      </w:r>
      <w:r w:rsidR="00E87F5B">
        <w:rPr>
          <w:rFonts w:ascii="Titillium Web" w:eastAsiaTheme="minorHAnsi" w:hAnsi="Titillium Web"/>
          <w:bdr w:val="none" w:sz="0" w:space="0" w:color="auto" w:frame="1"/>
          <w:lang w:eastAsia="en-US"/>
        </w:rPr>
        <w:t>.</w:t>
      </w:r>
    </w:p>
    <w:p w14:paraId="709DD07F" w14:textId="27B2328A" w:rsidR="00D801F4" w:rsidRPr="00A06FB9" w:rsidRDefault="00D801F4" w:rsidP="00E87F5B">
      <w:pPr>
        <w:pStyle w:val="NormlWeb"/>
        <w:numPr>
          <w:ilvl w:val="0"/>
          <w:numId w:val="2"/>
        </w:numPr>
        <w:shd w:val="clear" w:color="auto" w:fill="FFFFFF"/>
        <w:tabs>
          <w:tab w:val="left" w:pos="284"/>
        </w:tabs>
        <w:spacing w:before="0" w:beforeAutospacing="0" w:after="120" w:afterAutospacing="0"/>
        <w:ind w:left="0" w:firstLine="0"/>
        <w:rPr>
          <w:rStyle w:val="Kiemels2"/>
          <w:rFonts w:ascii="Titillium Web" w:eastAsiaTheme="minorHAnsi" w:hAnsi="Titillium Web"/>
          <w:bdr w:val="none" w:sz="0" w:space="0" w:color="auto" w:frame="1"/>
          <w:lang w:eastAsia="en-US"/>
        </w:rPr>
      </w:pPr>
      <w:r w:rsidRPr="00A06FB9">
        <w:rPr>
          <w:rStyle w:val="Kiemels2"/>
          <w:rFonts w:ascii="Titillium Web" w:eastAsiaTheme="minorHAnsi" w:hAnsi="Titillium Web"/>
          <w:bdr w:val="none" w:sz="0" w:space="0" w:color="auto" w:frame="1"/>
          <w:lang w:eastAsia="en-US"/>
        </w:rPr>
        <w:t>Ki köteles beszedni az idegenforgalmi adót?</w:t>
      </w:r>
    </w:p>
    <w:p w14:paraId="109F273E" w14:textId="77777777" w:rsidR="00D801F4" w:rsidRPr="00A06FB9" w:rsidRDefault="00D801F4" w:rsidP="009F59EE">
      <w:pPr>
        <w:pStyle w:val="NormlWeb"/>
        <w:numPr>
          <w:ilvl w:val="1"/>
          <w:numId w:val="2"/>
        </w:numPr>
        <w:shd w:val="clear" w:color="auto" w:fill="FFFFFF"/>
        <w:tabs>
          <w:tab w:val="left" w:pos="284"/>
        </w:tabs>
        <w:spacing w:before="0" w:beforeAutospacing="0" w:after="120" w:afterAutospacing="0"/>
        <w:jc w:val="both"/>
        <w:rPr>
          <w:rFonts w:ascii="Titillium Web" w:eastAsiaTheme="minorHAnsi" w:hAnsi="Titillium Web"/>
          <w:bdr w:val="none" w:sz="0" w:space="0" w:color="auto" w:frame="1"/>
          <w:lang w:eastAsia="en-US"/>
        </w:rPr>
      </w:pPr>
      <w:r w:rsidRPr="00A06FB9">
        <w:rPr>
          <w:rFonts w:ascii="Titillium Web" w:eastAsiaTheme="minorHAnsi" w:hAnsi="Titillium Web"/>
          <w:bdr w:val="none" w:sz="0" w:space="0" w:color="auto" w:frame="1"/>
          <w:lang w:eastAsia="en-US"/>
        </w:rPr>
        <w:t xml:space="preserve">A fizetendő adót: </w:t>
      </w:r>
    </w:p>
    <w:p w14:paraId="626466AC" w14:textId="77777777" w:rsidR="00D801F4" w:rsidRPr="00A06FB9" w:rsidRDefault="00D801F4" w:rsidP="009F59EE">
      <w:pPr>
        <w:pStyle w:val="NormlWeb"/>
        <w:numPr>
          <w:ilvl w:val="2"/>
          <w:numId w:val="2"/>
        </w:numPr>
        <w:shd w:val="clear" w:color="auto" w:fill="FFFFFF"/>
        <w:spacing w:before="0" w:beforeAutospacing="0" w:after="120" w:afterAutospacing="0"/>
        <w:ind w:left="1276" w:hanging="709"/>
        <w:jc w:val="both"/>
        <w:rPr>
          <w:rFonts w:ascii="Titillium Web" w:eastAsiaTheme="minorHAnsi" w:hAnsi="Titillium Web"/>
          <w:bdr w:val="none" w:sz="0" w:space="0" w:color="auto" w:frame="1"/>
          <w:lang w:eastAsia="en-US"/>
        </w:rPr>
      </w:pPr>
      <w:r w:rsidRPr="00A06FB9">
        <w:rPr>
          <w:rFonts w:ascii="Titillium Web" w:eastAsiaTheme="minorHAnsi" w:hAnsi="Titillium Web"/>
          <w:bdr w:val="none" w:sz="0" w:space="0" w:color="auto" w:frame="1"/>
          <w:lang w:eastAsia="en-US"/>
        </w:rPr>
        <w:t xml:space="preserve"> a szálláshely ellenérték fejében történő átengedése esetén a szállásdíjjal együtt a </w:t>
      </w:r>
      <w:r w:rsidRPr="00A06FB9">
        <w:rPr>
          <w:rFonts w:ascii="Titillium Web" w:eastAsiaTheme="minorHAnsi" w:hAnsi="Titillium Web"/>
          <w:b/>
          <w:bCs/>
          <w:bdr w:val="none" w:sz="0" w:space="0" w:color="auto" w:frame="1"/>
          <w:lang w:eastAsia="en-US"/>
        </w:rPr>
        <w:t>szállásadó</w:t>
      </w:r>
      <w:r w:rsidRPr="00A06FB9">
        <w:rPr>
          <w:rFonts w:ascii="Titillium Web" w:eastAsiaTheme="minorHAnsi" w:hAnsi="Titillium Web"/>
          <w:bdr w:val="none" w:sz="0" w:space="0" w:color="auto" w:frame="1"/>
          <w:lang w:eastAsia="en-US"/>
        </w:rPr>
        <w:t xml:space="preserve">, </w:t>
      </w:r>
    </w:p>
    <w:p w14:paraId="17F0EB7B" w14:textId="5FC34CC1" w:rsidR="00D801F4" w:rsidRPr="00A06FB9" w:rsidRDefault="00D801F4" w:rsidP="009F59EE">
      <w:pPr>
        <w:pStyle w:val="NormlWeb"/>
        <w:numPr>
          <w:ilvl w:val="2"/>
          <w:numId w:val="2"/>
        </w:numPr>
        <w:shd w:val="clear" w:color="auto" w:fill="FFFFFF"/>
        <w:spacing w:before="0" w:beforeAutospacing="0" w:after="120" w:afterAutospacing="0"/>
        <w:ind w:left="1276" w:hanging="709"/>
        <w:jc w:val="both"/>
        <w:rPr>
          <w:rFonts w:ascii="Titillium Web" w:eastAsiaTheme="minorHAnsi" w:hAnsi="Titillium Web"/>
          <w:bdr w:val="none" w:sz="0" w:space="0" w:color="auto" w:frame="1"/>
          <w:lang w:eastAsia="en-US"/>
        </w:rPr>
      </w:pPr>
      <w:r w:rsidRPr="00A06FB9">
        <w:rPr>
          <w:rFonts w:ascii="Titillium Web" w:eastAsiaTheme="minorHAnsi" w:hAnsi="Titillium Web"/>
          <w:bdr w:val="none" w:sz="0" w:space="0" w:color="auto" w:frame="1"/>
          <w:lang w:eastAsia="en-US"/>
        </w:rPr>
        <w:t xml:space="preserve">a szálláshely vagy bármely más ingatlan ingyenesen történő átengedése esetén a </w:t>
      </w:r>
      <w:r w:rsidRPr="00A06FB9">
        <w:rPr>
          <w:rFonts w:ascii="Titillium Web" w:eastAsiaTheme="minorHAnsi" w:hAnsi="Titillium Web"/>
          <w:b/>
          <w:bCs/>
          <w:bdr w:val="none" w:sz="0" w:space="0" w:color="auto" w:frame="1"/>
          <w:lang w:eastAsia="en-US"/>
        </w:rPr>
        <w:t>szálláshellyel, ingatlannal rendelkezni jogosult</w:t>
      </w:r>
      <w:r w:rsidRPr="00A06FB9">
        <w:rPr>
          <w:rFonts w:ascii="Titillium Web" w:eastAsiaTheme="minorHAnsi" w:hAnsi="Titillium Web"/>
          <w:bdr w:val="none" w:sz="0" w:space="0" w:color="auto" w:frame="1"/>
          <w:lang w:eastAsia="en-US"/>
        </w:rPr>
        <w:t xml:space="preserve"> az ott-tartózkodás utolsó napján </w:t>
      </w:r>
    </w:p>
    <w:p w14:paraId="122FDDEA" w14:textId="77777777" w:rsidR="00D801F4" w:rsidRPr="00A06FB9" w:rsidRDefault="00D801F4" w:rsidP="009F59EE">
      <w:pPr>
        <w:pStyle w:val="NormlWeb"/>
        <w:shd w:val="clear" w:color="auto" w:fill="FFFFFF"/>
        <w:tabs>
          <w:tab w:val="left" w:pos="284"/>
        </w:tabs>
        <w:spacing w:before="0" w:beforeAutospacing="0" w:after="120" w:afterAutospacing="0"/>
        <w:jc w:val="both"/>
        <w:rPr>
          <w:rFonts w:ascii="Titillium Web" w:eastAsiaTheme="minorHAnsi" w:hAnsi="Titillium Web"/>
          <w:bdr w:val="none" w:sz="0" w:space="0" w:color="auto" w:frame="1"/>
          <w:lang w:eastAsia="en-US"/>
        </w:rPr>
      </w:pPr>
      <w:r w:rsidRPr="00A06FB9">
        <w:rPr>
          <w:rFonts w:ascii="Titillium Web" w:eastAsiaTheme="minorHAnsi" w:hAnsi="Titillium Web"/>
          <w:bdr w:val="none" w:sz="0" w:space="0" w:color="auto" w:frame="1"/>
          <w:lang w:eastAsia="en-US"/>
        </w:rPr>
        <w:t xml:space="preserve">(a továbbiakban együtt: adóbeszedésre kötelezett) szedi be. </w:t>
      </w:r>
    </w:p>
    <w:p w14:paraId="61EDB9A2" w14:textId="120F04D7" w:rsidR="00606BCC" w:rsidRPr="00A06FB9" w:rsidRDefault="00606BCC" w:rsidP="009F59EE">
      <w:pPr>
        <w:pStyle w:val="NormlWeb"/>
        <w:numPr>
          <w:ilvl w:val="1"/>
          <w:numId w:val="2"/>
        </w:numPr>
        <w:shd w:val="clear" w:color="auto" w:fill="FFFFFF"/>
        <w:tabs>
          <w:tab w:val="left" w:pos="284"/>
        </w:tabs>
        <w:spacing w:before="0" w:beforeAutospacing="0" w:after="120" w:afterAutospacing="0"/>
        <w:jc w:val="both"/>
        <w:rPr>
          <w:rStyle w:val="Kiemels2"/>
          <w:rFonts w:ascii="Titillium Web" w:eastAsiaTheme="minorHAnsi" w:hAnsi="Titillium Web"/>
          <w:b w:val="0"/>
          <w:bCs w:val="0"/>
          <w:bdr w:val="none" w:sz="0" w:space="0" w:color="auto" w:frame="1"/>
          <w:lang w:eastAsia="en-US"/>
        </w:rPr>
      </w:pPr>
      <w:r w:rsidRPr="00A06FB9">
        <w:rPr>
          <w:rFonts w:ascii="Titillium Web" w:eastAsiaTheme="minorHAnsi" w:hAnsi="Titillium Web"/>
          <w:bdr w:val="none" w:sz="0" w:space="0" w:color="auto" w:frame="1"/>
          <w:lang w:eastAsia="en-US"/>
        </w:rPr>
        <w:t xml:space="preserve">Az adóbeszedésre kötelezett az adókötelezettség </w:t>
      </w:r>
      <w:r w:rsidRPr="00A06FB9">
        <w:rPr>
          <w:rFonts w:ascii="Titillium Web" w:eastAsiaTheme="minorHAnsi" w:hAnsi="Titillium Web"/>
          <w:b/>
          <w:bCs/>
          <w:bdr w:val="none" w:sz="0" w:space="0" w:color="auto" w:frame="1"/>
          <w:lang w:eastAsia="en-US"/>
        </w:rPr>
        <w:t>keletkezését</w:t>
      </w:r>
      <w:r w:rsidRPr="00A06FB9">
        <w:rPr>
          <w:rFonts w:ascii="Titillium Web" w:eastAsiaTheme="minorHAnsi" w:hAnsi="Titillium Web"/>
          <w:bdr w:val="none" w:sz="0" w:space="0" w:color="auto" w:frame="1"/>
          <w:lang w:eastAsia="en-US"/>
        </w:rPr>
        <w:t xml:space="preserve">, annak </w:t>
      </w:r>
      <w:r w:rsidRPr="00A06FB9">
        <w:rPr>
          <w:rFonts w:ascii="Titillium Web" w:eastAsiaTheme="minorHAnsi" w:hAnsi="Titillium Web"/>
          <w:b/>
          <w:bCs/>
          <w:bdr w:val="none" w:sz="0" w:space="0" w:color="auto" w:frame="1"/>
          <w:lang w:eastAsia="en-US"/>
        </w:rPr>
        <w:t>bekövetkezésétől számított 15 napon belül</w:t>
      </w:r>
      <w:r w:rsidRPr="00A06FB9">
        <w:rPr>
          <w:rFonts w:ascii="Titillium Web" w:eastAsiaTheme="minorHAnsi" w:hAnsi="Titillium Web"/>
          <w:bdr w:val="none" w:sz="0" w:space="0" w:color="auto" w:frame="1"/>
          <w:lang w:eastAsia="en-US"/>
        </w:rPr>
        <w:t xml:space="preserve"> jelenti be az önkormányzati adóhatóságnak.</w:t>
      </w:r>
    </w:p>
    <w:p w14:paraId="598A7056" w14:textId="5D932275" w:rsidR="00FE7BA2" w:rsidRPr="00A06FB9" w:rsidRDefault="00017CED" w:rsidP="00E87F5B">
      <w:pPr>
        <w:pStyle w:val="NormlWeb"/>
        <w:numPr>
          <w:ilvl w:val="0"/>
          <w:numId w:val="2"/>
        </w:numPr>
        <w:shd w:val="clear" w:color="auto" w:fill="FFFFFF"/>
        <w:tabs>
          <w:tab w:val="left" w:pos="284"/>
        </w:tabs>
        <w:spacing w:before="0" w:beforeAutospacing="0" w:after="120" w:afterAutospacing="0"/>
        <w:ind w:left="0" w:firstLine="0"/>
        <w:rPr>
          <w:rStyle w:val="Kiemels2"/>
          <w:rFonts w:ascii="Titillium Web" w:eastAsiaTheme="minorHAnsi" w:hAnsi="Titillium Web"/>
          <w:bdr w:val="none" w:sz="0" w:space="0" w:color="auto" w:frame="1"/>
          <w:lang w:eastAsia="en-US"/>
        </w:rPr>
      </w:pPr>
      <w:r w:rsidRPr="00A06FB9">
        <w:rPr>
          <w:rStyle w:val="Kiemels2"/>
          <w:rFonts w:ascii="Titillium Web" w:eastAsiaTheme="minorHAnsi" w:hAnsi="Titillium Web"/>
          <w:bdr w:val="none" w:sz="0" w:space="0" w:color="auto" w:frame="1"/>
          <w:lang w:eastAsia="en-US"/>
        </w:rPr>
        <w:t xml:space="preserve">Az </w:t>
      </w:r>
      <w:r w:rsidR="00E7583D" w:rsidRPr="00A06FB9">
        <w:rPr>
          <w:rStyle w:val="Kiemels2"/>
          <w:rFonts w:ascii="Titillium Web" w:eastAsiaTheme="minorHAnsi" w:hAnsi="Titillium Web"/>
          <w:bdr w:val="none" w:sz="0" w:space="0" w:color="auto" w:frame="1"/>
          <w:lang w:eastAsia="en-US"/>
        </w:rPr>
        <w:t>idegenforgalmi adó</w:t>
      </w:r>
      <w:r w:rsidRPr="00A06FB9">
        <w:rPr>
          <w:rStyle w:val="Kiemels2"/>
          <w:rFonts w:ascii="Titillium Web" w:eastAsiaTheme="minorHAnsi" w:hAnsi="Titillium Web"/>
          <w:bdr w:val="none" w:sz="0" w:space="0" w:color="auto" w:frame="1"/>
          <w:lang w:eastAsia="en-US"/>
        </w:rPr>
        <w:t xml:space="preserve"> alapja</w:t>
      </w:r>
    </w:p>
    <w:p w14:paraId="4EEF2513" w14:textId="4717F899" w:rsidR="00017CED" w:rsidRPr="00A06FB9" w:rsidRDefault="00F01CCC" w:rsidP="009F59EE">
      <w:pPr>
        <w:pStyle w:val="NormlWeb"/>
        <w:shd w:val="clear" w:color="auto" w:fill="FFFFFF"/>
        <w:spacing w:before="0" w:beforeAutospacing="0" w:after="120" w:afterAutospacing="0"/>
        <w:ind w:left="284"/>
        <w:jc w:val="both"/>
        <w:rPr>
          <w:rFonts w:ascii="Titillium Web" w:eastAsiaTheme="minorHAnsi" w:hAnsi="Titillium Web"/>
          <w:bdr w:val="none" w:sz="0" w:space="0" w:color="auto" w:frame="1"/>
          <w:lang w:eastAsia="en-US"/>
        </w:rPr>
      </w:pPr>
      <w:r w:rsidRPr="00A06FB9">
        <w:rPr>
          <w:rFonts w:ascii="Titillium Web" w:eastAsiaTheme="minorHAnsi" w:hAnsi="Titillium Web"/>
          <w:bdr w:val="none" w:sz="0" w:space="0" w:color="auto" w:frame="1"/>
          <w:lang w:eastAsia="en-US"/>
        </w:rPr>
        <w:t xml:space="preserve">Az idegenforgalmi adó alapja a megkezdett vendégéjszakára eső </w:t>
      </w:r>
      <w:r w:rsidRPr="00A06FB9">
        <w:rPr>
          <w:rFonts w:ascii="Titillium Web" w:eastAsiaTheme="minorHAnsi" w:hAnsi="Titillium Web"/>
          <w:b/>
          <w:bCs/>
          <w:bdr w:val="none" w:sz="0" w:space="0" w:color="auto" w:frame="1"/>
          <w:lang w:eastAsia="en-US"/>
        </w:rPr>
        <w:t>szállásdíj</w:t>
      </w:r>
      <w:r w:rsidRPr="00A06FB9">
        <w:rPr>
          <w:rFonts w:ascii="Titillium Web" w:eastAsiaTheme="minorHAnsi" w:hAnsi="Titillium Web"/>
          <w:bdr w:val="none" w:sz="0" w:space="0" w:color="auto" w:frame="1"/>
          <w:lang w:eastAsia="en-US"/>
        </w:rPr>
        <w:t xml:space="preserve"> (a szálláshely általános forgalmi adóval csökkentett ára a kötelező reggeli és egyéb szolgáltatások nélkül), ennek hiányában a szállásért </w:t>
      </w:r>
      <w:r w:rsidRPr="00A06FB9">
        <w:rPr>
          <w:rFonts w:ascii="Titillium Web" w:eastAsiaTheme="minorHAnsi" w:hAnsi="Titillium Web"/>
          <w:b/>
          <w:bCs/>
          <w:bdr w:val="none" w:sz="0" w:space="0" w:color="auto" w:frame="1"/>
          <w:lang w:eastAsia="en-US"/>
        </w:rPr>
        <w:t>bármilyen jogcímen</w:t>
      </w:r>
      <w:r w:rsidRPr="00A06FB9">
        <w:rPr>
          <w:rFonts w:ascii="Titillium Web" w:eastAsiaTheme="minorHAnsi" w:hAnsi="Titillium Web"/>
          <w:bdr w:val="none" w:sz="0" w:space="0" w:color="auto" w:frame="1"/>
          <w:lang w:eastAsia="en-US"/>
        </w:rPr>
        <w:t xml:space="preserve"> (például: üdülőhasználati jog) </w:t>
      </w:r>
      <w:r w:rsidRPr="00A06FB9">
        <w:rPr>
          <w:rFonts w:ascii="Titillium Web" w:eastAsiaTheme="minorHAnsi" w:hAnsi="Titillium Web"/>
          <w:b/>
          <w:bCs/>
          <w:bdr w:val="none" w:sz="0" w:space="0" w:color="auto" w:frame="1"/>
          <w:lang w:eastAsia="en-US"/>
        </w:rPr>
        <w:t>fizetendő ellenérték</w:t>
      </w:r>
      <w:r w:rsidRPr="00A06FB9">
        <w:rPr>
          <w:rFonts w:ascii="Titillium Web" w:eastAsiaTheme="minorHAnsi" w:hAnsi="Titillium Web"/>
          <w:bdr w:val="none" w:sz="0" w:space="0" w:color="auto" w:frame="1"/>
          <w:lang w:eastAsia="en-US"/>
        </w:rPr>
        <w:t xml:space="preserve"> (például: üzemeltetési költség).</w:t>
      </w:r>
    </w:p>
    <w:p w14:paraId="6D358DE5" w14:textId="5B99D11C" w:rsidR="00017CED" w:rsidRPr="00A06FB9" w:rsidRDefault="00017CED" w:rsidP="009F59EE">
      <w:pPr>
        <w:pStyle w:val="NormlWeb"/>
        <w:numPr>
          <w:ilvl w:val="0"/>
          <w:numId w:val="2"/>
        </w:numPr>
        <w:shd w:val="clear" w:color="auto" w:fill="FFFFFF"/>
        <w:tabs>
          <w:tab w:val="left" w:pos="284"/>
        </w:tabs>
        <w:spacing w:before="0" w:beforeAutospacing="0" w:after="240" w:afterAutospacing="0"/>
        <w:ind w:left="0" w:firstLine="0"/>
        <w:rPr>
          <w:rFonts w:ascii="Titillium Web" w:hAnsi="Titillium Web"/>
        </w:rPr>
      </w:pPr>
      <w:r w:rsidRPr="00A06FB9">
        <w:rPr>
          <w:rStyle w:val="Kiemels2"/>
          <w:rFonts w:ascii="Titillium Web" w:eastAsiaTheme="minorHAnsi" w:hAnsi="Titillium Web"/>
          <w:bdr w:val="none" w:sz="0" w:space="0" w:color="auto" w:frame="1"/>
          <w:lang w:eastAsia="en-US"/>
        </w:rPr>
        <w:t xml:space="preserve">Az </w:t>
      </w:r>
      <w:r w:rsidR="00D801F4" w:rsidRPr="00A06FB9">
        <w:rPr>
          <w:rStyle w:val="Kiemels2"/>
          <w:rFonts w:ascii="Titillium Web" w:eastAsiaTheme="minorHAnsi" w:hAnsi="Titillium Web"/>
          <w:bdr w:val="none" w:sz="0" w:space="0" w:color="auto" w:frame="1"/>
          <w:lang w:eastAsia="en-US"/>
        </w:rPr>
        <w:t>idegenforgalmi adó</w:t>
      </w:r>
      <w:r w:rsidRPr="00A06FB9">
        <w:rPr>
          <w:rStyle w:val="Kiemels2"/>
          <w:rFonts w:ascii="Titillium Web" w:eastAsiaTheme="minorHAnsi" w:hAnsi="Titillium Web"/>
          <w:bdr w:val="none" w:sz="0" w:space="0" w:color="auto" w:frame="1"/>
          <w:lang w:eastAsia="en-US"/>
        </w:rPr>
        <w:t xml:space="preserve"> mértéke</w:t>
      </w:r>
    </w:p>
    <w:p w14:paraId="5EA064CF" w14:textId="4962EDEB" w:rsidR="0093054B" w:rsidRPr="00A06FB9" w:rsidRDefault="00E42217" w:rsidP="009F59EE">
      <w:pPr>
        <w:pStyle w:val="NormlWeb"/>
        <w:shd w:val="clear" w:color="auto" w:fill="FFFFFF"/>
        <w:spacing w:before="0" w:beforeAutospacing="0" w:after="120" w:afterAutospacing="0"/>
        <w:ind w:left="284"/>
        <w:jc w:val="both"/>
        <w:rPr>
          <w:rFonts w:ascii="Titillium Web" w:hAnsi="Titillium Web"/>
        </w:rPr>
      </w:pPr>
      <w:r w:rsidRPr="00A06FB9">
        <w:rPr>
          <w:rFonts w:ascii="Titillium Web" w:hAnsi="Titillium Web"/>
        </w:rPr>
        <w:lastRenderedPageBreak/>
        <w:t>A megkezdett vendégéjszakára eső szállásdíj</w:t>
      </w:r>
      <w:r w:rsidR="00D801F4" w:rsidRPr="00A06FB9">
        <w:rPr>
          <w:rFonts w:ascii="Titillium Web" w:hAnsi="Titillium Web"/>
        </w:rPr>
        <w:t xml:space="preserve"> </w:t>
      </w:r>
      <w:r w:rsidR="00D801F4" w:rsidRPr="00A06FB9">
        <w:rPr>
          <w:rFonts w:ascii="Titillium Web" w:hAnsi="Titillium Web"/>
          <w:b/>
          <w:bCs/>
        </w:rPr>
        <w:t>4%</w:t>
      </w:r>
      <w:r w:rsidR="00D801F4" w:rsidRPr="00A06FB9">
        <w:rPr>
          <w:rFonts w:ascii="Titillium Web" w:hAnsi="Titillium Web"/>
        </w:rPr>
        <w:t>-a.</w:t>
      </w:r>
      <w:r w:rsidR="00B70B35" w:rsidRPr="00A06FB9">
        <w:rPr>
          <w:rFonts w:ascii="Titillium Web" w:hAnsi="Titillium Web"/>
        </w:rPr>
        <w:t xml:space="preserve"> A </w:t>
      </w:r>
      <w:proofErr w:type="spellStart"/>
      <w:r w:rsidR="00B70B35" w:rsidRPr="00A06FB9">
        <w:rPr>
          <w:rFonts w:ascii="Titillium Web" w:hAnsi="Titillium Web"/>
        </w:rPr>
        <w:t>Htv</w:t>
      </w:r>
      <w:proofErr w:type="spellEnd"/>
      <w:r w:rsidR="00B70B35" w:rsidRPr="00A06FB9">
        <w:rPr>
          <w:rFonts w:ascii="Titillium Web" w:hAnsi="Titillium Web"/>
        </w:rPr>
        <w:t>. szerint a szállásdíj a szálláshely általános forgalmi adóval csökkentett ára a kötelező reggeli és egyéb szolgáltatások nélkül.</w:t>
      </w:r>
    </w:p>
    <w:p w14:paraId="1FAC2FE5" w14:textId="449A7489" w:rsidR="0093054B" w:rsidRPr="00A06FB9" w:rsidRDefault="0093054B" w:rsidP="00E87F5B">
      <w:pPr>
        <w:pStyle w:val="NormlWeb"/>
        <w:numPr>
          <w:ilvl w:val="0"/>
          <w:numId w:val="2"/>
        </w:numPr>
        <w:shd w:val="clear" w:color="auto" w:fill="FFFFFF"/>
        <w:tabs>
          <w:tab w:val="left" w:pos="284"/>
        </w:tabs>
        <w:spacing w:before="0" w:beforeAutospacing="0" w:after="120" w:afterAutospacing="0"/>
        <w:ind w:left="0" w:firstLine="0"/>
        <w:rPr>
          <w:rStyle w:val="Kiemels2"/>
          <w:rFonts w:ascii="Titillium Web" w:eastAsiaTheme="minorHAnsi" w:hAnsi="Titillium Web"/>
          <w:bdr w:val="none" w:sz="0" w:space="0" w:color="auto" w:frame="1"/>
          <w:lang w:eastAsia="en-US"/>
        </w:rPr>
      </w:pPr>
      <w:r w:rsidRPr="00A06FB9">
        <w:rPr>
          <w:rStyle w:val="Kiemels2"/>
          <w:rFonts w:ascii="Titillium Web" w:eastAsiaTheme="minorHAnsi" w:hAnsi="Titillium Web"/>
          <w:bdr w:val="none" w:sz="0" w:space="0" w:color="auto" w:frame="1"/>
          <w:lang w:eastAsia="en-US"/>
        </w:rPr>
        <w:t>Eljárási díj</w:t>
      </w:r>
    </w:p>
    <w:p w14:paraId="2F047D7E" w14:textId="0B824560" w:rsidR="00FE7BA2" w:rsidRPr="00A06FB9" w:rsidRDefault="00FE7BA2" w:rsidP="009F59EE">
      <w:pPr>
        <w:pStyle w:val="NormlWeb"/>
        <w:shd w:val="clear" w:color="auto" w:fill="FFFFFF"/>
        <w:spacing w:before="0" w:beforeAutospacing="0" w:after="120" w:afterAutospacing="0"/>
        <w:ind w:left="709"/>
        <w:jc w:val="both"/>
        <w:rPr>
          <w:rFonts w:ascii="Titillium Web" w:hAnsi="Titillium Web"/>
        </w:rPr>
      </w:pPr>
      <w:r w:rsidRPr="00A06FB9">
        <w:rPr>
          <w:rFonts w:ascii="Titillium Web" w:hAnsi="Titillium Web"/>
        </w:rPr>
        <w:t>Az eljárás illetékmentes.</w:t>
      </w:r>
    </w:p>
    <w:p w14:paraId="5A4F13FA" w14:textId="734E2530" w:rsidR="00FE7BA2" w:rsidRPr="00A06FB9" w:rsidRDefault="00565BB3" w:rsidP="00E87F5B">
      <w:pPr>
        <w:pStyle w:val="NormlWeb"/>
        <w:numPr>
          <w:ilvl w:val="0"/>
          <w:numId w:val="2"/>
        </w:numPr>
        <w:shd w:val="clear" w:color="auto" w:fill="FFFFFF"/>
        <w:tabs>
          <w:tab w:val="left" w:pos="284"/>
        </w:tabs>
        <w:spacing w:before="0" w:beforeAutospacing="0" w:after="120" w:afterAutospacing="0"/>
        <w:ind w:left="0" w:firstLine="0"/>
        <w:rPr>
          <w:rStyle w:val="Kiemels2"/>
          <w:rFonts w:ascii="Titillium Web" w:eastAsiaTheme="minorHAnsi" w:hAnsi="Titillium Web"/>
          <w:bdr w:val="none" w:sz="0" w:space="0" w:color="auto" w:frame="1"/>
          <w:lang w:eastAsia="en-US"/>
        </w:rPr>
      </w:pPr>
      <w:r w:rsidRPr="00A06FB9">
        <w:rPr>
          <w:rStyle w:val="Kiemels2"/>
          <w:rFonts w:ascii="Titillium Web" w:eastAsiaTheme="minorHAnsi" w:hAnsi="Titillium Web"/>
          <w:bdr w:val="none" w:sz="0" w:space="0" w:color="auto" w:frame="1"/>
          <w:lang w:eastAsia="en-US"/>
        </w:rPr>
        <w:t>A</w:t>
      </w:r>
      <w:r w:rsidR="00606BCC" w:rsidRPr="00A06FB9">
        <w:rPr>
          <w:rStyle w:val="Kiemels2"/>
          <w:rFonts w:ascii="Titillium Web" w:eastAsiaTheme="minorHAnsi" w:hAnsi="Titillium Web"/>
          <w:bdr w:val="none" w:sz="0" w:space="0" w:color="auto" w:frame="1"/>
          <w:lang w:eastAsia="en-US"/>
        </w:rPr>
        <w:t>z idegenforgalmi adó</w:t>
      </w:r>
      <w:r w:rsidR="00B70B35" w:rsidRPr="00A06FB9">
        <w:rPr>
          <w:rStyle w:val="Kiemels2"/>
          <w:rFonts w:ascii="Titillium Web" w:eastAsiaTheme="minorHAnsi" w:hAnsi="Titillium Web"/>
          <w:bdr w:val="none" w:sz="0" w:space="0" w:color="auto" w:frame="1"/>
          <w:lang w:eastAsia="en-US"/>
        </w:rPr>
        <w:t>bevallás</w:t>
      </w:r>
      <w:r w:rsidRPr="00A06FB9">
        <w:rPr>
          <w:rStyle w:val="Kiemels2"/>
          <w:rFonts w:ascii="Titillium Web" w:eastAsiaTheme="minorHAnsi" w:hAnsi="Titillium Web"/>
          <w:bdr w:val="none" w:sz="0" w:space="0" w:color="auto" w:frame="1"/>
          <w:lang w:eastAsia="en-US"/>
        </w:rPr>
        <w:t xml:space="preserve"> b</w:t>
      </w:r>
      <w:r w:rsidR="00FE7BA2" w:rsidRPr="00A06FB9">
        <w:rPr>
          <w:rStyle w:val="Kiemels2"/>
          <w:rFonts w:ascii="Titillium Web" w:eastAsiaTheme="minorHAnsi" w:hAnsi="Titillium Web"/>
          <w:bdr w:val="none" w:sz="0" w:space="0" w:color="auto" w:frame="1"/>
          <w:lang w:eastAsia="en-US"/>
        </w:rPr>
        <w:t>enyújtás</w:t>
      </w:r>
      <w:r w:rsidRPr="00A06FB9">
        <w:rPr>
          <w:rStyle w:val="Kiemels2"/>
          <w:rFonts w:ascii="Titillium Web" w:eastAsiaTheme="minorHAnsi" w:hAnsi="Titillium Web"/>
          <w:bdr w:val="none" w:sz="0" w:space="0" w:color="auto" w:frame="1"/>
          <w:lang w:eastAsia="en-US"/>
        </w:rPr>
        <w:t>ának</w:t>
      </w:r>
      <w:r w:rsidR="00FE7BA2" w:rsidRPr="00A06FB9">
        <w:rPr>
          <w:rStyle w:val="Kiemels2"/>
          <w:rFonts w:ascii="Titillium Web" w:eastAsiaTheme="minorHAnsi" w:hAnsi="Titillium Web"/>
          <w:bdr w:val="none" w:sz="0" w:space="0" w:color="auto" w:frame="1"/>
          <w:lang w:eastAsia="en-US"/>
        </w:rPr>
        <w:t xml:space="preserve"> módja</w:t>
      </w:r>
    </w:p>
    <w:p w14:paraId="0A5A550F" w14:textId="58EFC876" w:rsidR="000D71B9" w:rsidRPr="00A06FB9" w:rsidRDefault="000D71B9" w:rsidP="009F59EE">
      <w:pPr>
        <w:pStyle w:val="Listaszerbekezds"/>
        <w:numPr>
          <w:ilvl w:val="1"/>
          <w:numId w:val="2"/>
        </w:numPr>
        <w:spacing w:after="120" w:line="240" w:lineRule="auto"/>
        <w:ind w:left="1077"/>
        <w:contextualSpacing w:val="0"/>
        <w:jc w:val="both"/>
        <w:rPr>
          <w:rFonts w:ascii="Titillium Web" w:eastAsia="Times New Roman" w:hAnsi="Titillium Web" w:cs="Times New Roman"/>
        </w:rPr>
      </w:pPr>
      <w:r w:rsidRPr="00A06FB9">
        <w:rPr>
          <w:rFonts w:ascii="Titillium Web" w:eastAsia="Times New Roman" w:hAnsi="Titillium Web" w:cs="Times New Roman"/>
          <w:b/>
          <w:bCs/>
        </w:rPr>
        <w:t>Elektronikus úton</w:t>
      </w:r>
      <w:r w:rsidRPr="00A06FB9">
        <w:rPr>
          <w:rFonts w:ascii="Titillium Web" w:eastAsia="Times New Roman" w:hAnsi="Titillium Web" w:cs="Times New Roman"/>
        </w:rPr>
        <w:t xml:space="preserve"> – </w:t>
      </w:r>
      <w:r w:rsidR="000A552F" w:rsidRPr="00A06FB9">
        <w:rPr>
          <w:rFonts w:ascii="Titillium Web" w:eastAsia="Times New Roman" w:hAnsi="Titillium Web" w:cs="Times New Roman"/>
        </w:rPr>
        <w:t>az</w:t>
      </w:r>
      <w:r w:rsidRPr="00A06FB9">
        <w:rPr>
          <w:rFonts w:ascii="Titillium Web" w:eastAsia="Times New Roman" w:hAnsi="Titillium Web" w:cs="Times New Roman"/>
        </w:rPr>
        <w:t xml:space="preserve"> elektronikus kapcsolattartásra kötelezett adóalany, valamint az elektronikus kapcsolattartásra nem kötelezett természetes személy adóalany saját választása szerint </w:t>
      </w:r>
      <w:r w:rsidR="00404D7E" w:rsidRPr="00A06FB9">
        <w:rPr>
          <w:rFonts w:ascii="Titillium Web" w:eastAsia="Times New Roman" w:hAnsi="Titillium Web" w:cs="Times New Roman"/>
        </w:rPr>
        <w:t xml:space="preserve">– </w:t>
      </w:r>
      <w:r w:rsidRPr="00A06FB9">
        <w:rPr>
          <w:rFonts w:ascii="Titillium Web" w:eastAsia="Times New Roman" w:hAnsi="Titillium Web" w:cs="Times New Roman"/>
        </w:rPr>
        <w:t>az E-Önkormányzat Portálon (</w:t>
      </w:r>
      <w:hyperlink r:id="rId7" w:history="1">
        <w:r w:rsidRPr="00A06FB9">
          <w:rPr>
            <w:rStyle w:val="Hiperhivatkozs"/>
            <w:rFonts w:ascii="Titillium Web" w:eastAsia="Times New Roman" w:hAnsi="Titillium Web" w:cs="Times New Roman"/>
          </w:rPr>
          <w:t>E-Önkormányzat Portál</w:t>
        </w:r>
      </w:hyperlink>
      <w:r w:rsidRPr="00A06FB9">
        <w:rPr>
          <w:rFonts w:ascii="Titillium Web" w:eastAsia="Times New Roman" w:hAnsi="Titillium Web" w:cs="Times New Roman"/>
        </w:rPr>
        <w:t>)</w:t>
      </w:r>
      <w:r w:rsidR="00654C4F" w:rsidRPr="00A06FB9">
        <w:rPr>
          <w:rFonts w:ascii="Titillium Web" w:eastAsia="Times New Roman" w:hAnsi="Titillium Web" w:cs="Times New Roman"/>
        </w:rPr>
        <w:t>.</w:t>
      </w:r>
      <w:r w:rsidR="000A552F" w:rsidRPr="00A06FB9">
        <w:rPr>
          <w:rFonts w:ascii="Titillium Web" w:eastAsia="Times New Roman" w:hAnsi="Titillium Web" w:cs="Times New Roman"/>
        </w:rPr>
        <w:t xml:space="preserve"> Az E-Papír</w:t>
      </w:r>
      <w:r w:rsidR="00404D7E" w:rsidRPr="00A06FB9">
        <w:rPr>
          <w:rFonts w:ascii="Titillium Web" w:eastAsia="Times New Roman" w:hAnsi="Titillium Web" w:cs="Times New Roman"/>
        </w:rPr>
        <w:t xml:space="preserve"> szolgáltatás igénybevételével</w:t>
      </w:r>
      <w:r w:rsidR="000A552F" w:rsidRPr="00A06FB9">
        <w:rPr>
          <w:rFonts w:ascii="Titillium Web" w:eastAsia="Times New Roman" w:hAnsi="Titillium Web" w:cs="Times New Roman"/>
        </w:rPr>
        <w:t xml:space="preserve"> benyújtott </w:t>
      </w:r>
      <w:r w:rsidR="00606BCC" w:rsidRPr="00A06FB9">
        <w:rPr>
          <w:rFonts w:ascii="Titillium Web" w:eastAsia="Times New Roman" w:hAnsi="Titillium Web" w:cs="Times New Roman"/>
        </w:rPr>
        <w:t>bevallás</w:t>
      </w:r>
      <w:r w:rsidR="00404D7E" w:rsidRPr="00A06FB9">
        <w:rPr>
          <w:rFonts w:ascii="Titillium Web" w:eastAsia="Times New Roman" w:hAnsi="Titillium Web" w:cs="Times New Roman"/>
        </w:rPr>
        <w:t xml:space="preserve"> </w:t>
      </w:r>
      <w:r w:rsidR="00404D7E" w:rsidRPr="00A06FB9">
        <w:rPr>
          <w:rFonts w:ascii="Titillium Web" w:eastAsia="Times New Roman" w:hAnsi="Titillium Web" w:cs="Times New Roman"/>
          <w:b/>
          <w:bCs/>
        </w:rPr>
        <w:t>be nem nyújtottnak kell tekinteni</w:t>
      </w:r>
      <w:r w:rsidR="00E87F5B">
        <w:rPr>
          <w:rFonts w:ascii="Titillium Web" w:eastAsia="Times New Roman" w:hAnsi="Titillium Web" w:cs="Times New Roman"/>
          <w:b/>
          <w:bCs/>
        </w:rPr>
        <w:t>.</w:t>
      </w:r>
    </w:p>
    <w:p w14:paraId="4D68F94A" w14:textId="7F6EADB1" w:rsidR="000D71B9" w:rsidRPr="00A06FB9" w:rsidRDefault="000D71B9" w:rsidP="009F59EE">
      <w:pPr>
        <w:pStyle w:val="Listaszerbekezds"/>
        <w:numPr>
          <w:ilvl w:val="1"/>
          <w:numId w:val="2"/>
        </w:numPr>
        <w:spacing w:after="120" w:line="240" w:lineRule="auto"/>
        <w:contextualSpacing w:val="0"/>
        <w:jc w:val="both"/>
        <w:rPr>
          <w:rFonts w:ascii="Titillium Web" w:eastAsia="Times New Roman" w:hAnsi="Titillium Web" w:cs="Times New Roman"/>
        </w:rPr>
      </w:pPr>
      <w:r w:rsidRPr="00A06FB9">
        <w:rPr>
          <w:rFonts w:ascii="Titillium Web" w:eastAsia="Times New Roman" w:hAnsi="Titillium Web" w:cs="Times New Roman"/>
          <w:b/>
          <w:bCs/>
        </w:rPr>
        <w:t>Postai úton</w:t>
      </w:r>
      <w:r w:rsidRPr="00A06FB9">
        <w:rPr>
          <w:rFonts w:ascii="Titillium Web" w:eastAsia="Times New Roman" w:hAnsi="Titillium Web" w:cs="Times New Roman"/>
        </w:rPr>
        <w:t xml:space="preserve"> </w:t>
      </w:r>
      <w:r w:rsidR="00C723DF" w:rsidRPr="00A06FB9">
        <w:rPr>
          <w:rFonts w:ascii="Titillium Web" w:eastAsia="Times New Roman" w:hAnsi="Titillium Web" w:cs="Times New Roman"/>
        </w:rPr>
        <w:t xml:space="preserve">– az elektronikus kapcsolattartásra nem kötelezett természetes személy adóalany − </w:t>
      </w:r>
      <w:r w:rsidRPr="00A06FB9">
        <w:rPr>
          <w:rFonts w:ascii="Titillium Web" w:eastAsia="Times New Roman" w:hAnsi="Titillium Web" w:cs="Times New Roman"/>
        </w:rPr>
        <w:t>(Budapest Főváros IX. Kerület Ferencváros Polgármesteri Hivatal, 1093 Budapest, Bakáts utca 8.)</w:t>
      </w:r>
    </w:p>
    <w:p w14:paraId="769F78D9" w14:textId="677DE9D3" w:rsidR="00565BB3" w:rsidRPr="00A06FB9" w:rsidRDefault="000D71B9" w:rsidP="009F59EE">
      <w:pPr>
        <w:pStyle w:val="Listaszerbekezds"/>
        <w:numPr>
          <w:ilvl w:val="1"/>
          <w:numId w:val="2"/>
        </w:numPr>
        <w:spacing w:after="120" w:line="240" w:lineRule="auto"/>
        <w:ind w:left="1077"/>
        <w:contextualSpacing w:val="0"/>
        <w:jc w:val="both"/>
        <w:rPr>
          <w:rFonts w:ascii="Titillium Web" w:eastAsia="Times New Roman" w:hAnsi="Titillium Web" w:cs="Times New Roman"/>
        </w:rPr>
      </w:pPr>
      <w:r w:rsidRPr="00A06FB9">
        <w:rPr>
          <w:rFonts w:ascii="Titillium Web" w:eastAsia="Times New Roman" w:hAnsi="Titillium Web" w:cs="Times New Roman"/>
          <w:b/>
          <w:bCs/>
        </w:rPr>
        <w:t>Személyesen</w:t>
      </w:r>
      <w:r w:rsidRPr="00A06FB9">
        <w:rPr>
          <w:rFonts w:ascii="Titillium Web" w:eastAsia="Times New Roman" w:hAnsi="Titillium Web" w:cs="Times New Roman"/>
        </w:rPr>
        <w:t xml:space="preserve"> </w:t>
      </w:r>
      <w:r w:rsidR="00C723DF" w:rsidRPr="00A06FB9">
        <w:rPr>
          <w:rFonts w:ascii="Titillium Web" w:eastAsia="Times New Roman" w:hAnsi="Titillium Web" w:cs="Times New Roman"/>
        </w:rPr>
        <w:t xml:space="preserve">– az elektronikus kapcsolattartásra nem kötelezett természetes személy adóalany − </w:t>
      </w:r>
      <w:r w:rsidR="00565BB3" w:rsidRPr="00A06FB9">
        <w:rPr>
          <w:rFonts w:ascii="Titillium Web" w:eastAsia="Times New Roman" w:hAnsi="Titillium Web" w:cs="Times New Roman"/>
        </w:rPr>
        <w:t xml:space="preserve">az </w:t>
      </w:r>
      <w:r w:rsidRPr="00A06FB9">
        <w:rPr>
          <w:rFonts w:ascii="Titillium Web" w:eastAsia="Times New Roman" w:hAnsi="Titillium Web" w:cs="Times New Roman"/>
        </w:rPr>
        <w:t>Adóhatósági Csoport hivatali helyiségében</w:t>
      </w:r>
      <w:r w:rsidR="00565BB3" w:rsidRPr="00A06FB9">
        <w:rPr>
          <w:rFonts w:ascii="Titillium Web" w:eastAsia="Times New Roman" w:hAnsi="Titillium Web" w:cs="Times New Roman"/>
        </w:rPr>
        <w:t xml:space="preserve"> </w:t>
      </w:r>
      <w:r w:rsidRPr="00A06FB9">
        <w:rPr>
          <w:rFonts w:ascii="Titillium Web" w:eastAsia="Times New Roman" w:hAnsi="Titillium Web" w:cs="Times New Roman"/>
        </w:rPr>
        <w:t xml:space="preserve">(1093 Budapest, Bakáts utca 8. szám alatt a földszinti irodában) </w:t>
      </w:r>
      <w:r w:rsidR="00565BB3" w:rsidRPr="00A06FB9">
        <w:rPr>
          <w:rFonts w:ascii="Titillium Web" w:eastAsia="Times New Roman" w:hAnsi="Titillium Web" w:cs="Times New Roman"/>
        </w:rPr>
        <w:t>ügyfélfogadási időben</w:t>
      </w:r>
      <w:r w:rsidRPr="00A06FB9">
        <w:rPr>
          <w:rFonts w:ascii="Titillium Web" w:eastAsia="Times New Roman" w:hAnsi="Titillium Web" w:cs="Times New Roman"/>
        </w:rPr>
        <w:t xml:space="preserve"> (hétfő 13:00-17:30, szerda 8:00-16:00, péntek 8:00-12:00)</w:t>
      </w:r>
      <w:r w:rsidR="00565BB3" w:rsidRPr="00A06FB9">
        <w:rPr>
          <w:rFonts w:ascii="Titillium Web" w:eastAsia="Times New Roman" w:hAnsi="Titillium Web" w:cs="Times New Roman"/>
        </w:rPr>
        <w:t>.</w:t>
      </w:r>
    </w:p>
    <w:p w14:paraId="0E91E0DE" w14:textId="54478C07" w:rsidR="00FE7BA2" w:rsidRPr="00A06FB9" w:rsidRDefault="000D71B9" w:rsidP="00E87F5B">
      <w:pPr>
        <w:pStyle w:val="NormlWeb"/>
        <w:numPr>
          <w:ilvl w:val="0"/>
          <w:numId w:val="2"/>
        </w:numPr>
        <w:shd w:val="clear" w:color="auto" w:fill="FFFFFF"/>
        <w:tabs>
          <w:tab w:val="left" w:pos="284"/>
        </w:tabs>
        <w:spacing w:before="0" w:beforeAutospacing="0" w:after="120" w:afterAutospacing="0"/>
        <w:ind w:left="0" w:firstLine="0"/>
        <w:rPr>
          <w:rStyle w:val="Kiemels2"/>
          <w:rFonts w:ascii="Titillium Web" w:eastAsiaTheme="minorHAnsi" w:hAnsi="Titillium Web"/>
          <w:bdr w:val="none" w:sz="0" w:space="0" w:color="auto" w:frame="1"/>
          <w:lang w:eastAsia="en-US"/>
        </w:rPr>
      </w:pPr>
      <w:r w:rsidRPr="00A06FB9">
        <w:rPr>
          <w:rStyle w:val="Kiemels2"/>
          <w:rFonts w:ascii="Titillium Web" w:eastAsiaTheme="minorHAnsi" w:hAnsi="Titillium Web"/>
          <w:bdr w:val="none" w:sz="0" w:space="0" w:color="auto" w:frame="1"/>
          <w:lang w:eastAsia="en-US"/>
        </w:rPr>
        <w:t xml:space="preserve">Az </w:t>
      </w:r>
      <w:r w:rsidR="00606BCC" w:rsidRPr="00A06FB9">
        <w:rPr>
          <w:rStyle w:val="Kiemels2"/>
          <w:rFonts w:ascii="Titillium Web" w:eastAsiaTheme="minorHAnsi" w:hAnsi="Titillium Web"/>
          <w:bdr w:val="none" w:sz="0" w:space="0" w:color="auto" w:frame="1"/>
          <w:lang w:eastAsia="en-US"/>
        </w:rPr>
        <w:t>idegenforgalmi adóbevallás</w:t>
      </w:r>
      <w:r w:rsidR="00E87F5B">
        <w:rPr>
          <w:rStyle w:val="Kiemels2"/>
          <w:rFonts w:ascii="Titillium Web" w:eastAsiaTheme="minorHAnsi" w:hAnsi="Titillium Web"/>
          <w:bdr w:val="none" w:sz="0" w:space="0" w:color="auto" w:frame="1"/>
          <w:lang w:eastAsia="en-US"/>
        </w:rPr>
        <w:t xml:space="preserve"> benyújtása</w:t>
      </w:r>
    </w:p>
    <w:p w14:paraId="68C48F0E" w14:textId="7463E0A0" w:rsidR="00654C4F" w:rsidRPr="00A06FB9" w:rsidRDefault="00654C4F" w:rsidP="009F59EE">
      <w:pPr>
        <w:pStyle w:val="Listaszerbekezds"/>
        <w:numPr>
          <w:ilvl w:val="1"/>
          <w:numId w:val="2"/>
        </w:numPr>
        <w:spacing w:after="120" w:line="240" w:lineRule="auto"/>
        <w:ind w:left="1077"/>
        <w:contextualSpacing w:val="0"/>
        <w:jc w:val="both"/>
        <w:rPr>
          <w:rFonts w:ascii="Titillium Web" w:eastAsia="Times New Roman" w:hAnsi="Titillium Web" w:cs="Times New Roman"/>
          <w:bCs/>
        </w:rPr>
      </w:pPr>
      <w:r w:rsidRPr="00A06FB9">
        <w:rPr>
          <w:rFonts w:ascii="Titillium Web" w:eastAsia="Times New Roman" w:hAnsi="Titillium Web" w:cs="Times New Roman"/>
        </w:rPr>
        <w:t>A</w:t>
      </w:r>
      <w:r w:rsidR="00606BCC" w:rsidRPr="00A06FB9">
        <w:rPr>
          <w:rFonts w:ascii="Titillium Web" w:eastAsia="Times New Roman" w:hAnsi="Titillium Web" w:cs="Times New Roman"/>
        </w:rPr>
        <w:t xml:space="preserve"> bevallás</w:t>
      </w:r>
      <w:r w:rsidR="00E87F5B">
        <w:rPr>
          <w:rFonts w:ascii="Titillium Web" w:eastAsia="Times New Roman" w:hAnsi="Titillium Web" w:cs="Times New Roman"/>
        </w:rPr>
        <w:t>nyomtatvány</w:t>
      </w:r>
      <w:r w:rsidR="00606BCC" w:rsidRPr="00A06FB9">
        <w:rPr>
          <w:rFonts w:ascii="Titillium Web" w:eastAsia="Times New Roman" w:hAnsi="Titillium Web" w:cs="Times New Roman"/>
        </w:rPr>
        <w:t xml:space="preserve"> </w:t>
      </w:r>
      <w:r w:rsidRPr="00A06FB9">
        <w:rPr>
          <w:rFonts w:ascii="Titillium Web" w:eastAsia="Times New Roman" w:hAnsi="Titillium Web" w:cs="Times New Roman"/>
        </w:rPr>
        <w:t>az E-Önkormányzat Portálon (</w:t>
      </w:r>
      <w:hyperlink r:id="rId8" w:history="1">
        <w:r w:rsidRPr="00A06FB9">
          <w:rPr>
            <w:rStyle w:val="Hiperhivatkozs"/>
            <w:rFonts w:ascii="Titillium Web" w:eastAsia="Times New Roman" w:hAnsi="Titillium Web" w:cs="Times New Roman"/>
          </w:rPr>
          <w:t>E-Önkormányzat Portál</w:t>
        </w:r>
      </w:hyperlink>
      <w:r w:rsidRPr="00A06FB9">
        <w:rPr>
          <w:rFonts w:ascii="Titillium Web" w:eastAsia="Times New Roman" w:hAnsi="Titillium Web" w:cs="Times New Roman"/>
        </w:rPr>
        <w:t>) a BUDAPEST FŐVÁROS IX. KERÜLET FERENCVÁROS ÖNKORMÁNYZATA kiválasztás</w:t>
      </w:r>
      <w:r w:rsidR="00E87F5B">
        <w:rPr>
          <w:rFonts w:ascii="Titillium Web" w:eastAsia="Times New Roman" w:hAnsi="Titillium Web" w:cs="Times New Roman"/>
        </w:rPr>
        <w:t>ával érhető el</w:t>
      </w:r>
      <w:r w:rsidRPr="00A06FB9">
        <w:rPr>
          <w:rFonts w:ascii="Titillium Web" w:eastAsia="Times New Roman" w:hAnsi="Titillium Web" w:cs="Times New Roman"/>
        </w:rPr>
        <w:t>, a legördülő menüből</w:t>
      </w:r>
      <w:r w:rsidR="00E87F5B">
        <w:rPr>
          <w:rFonts w:ascii="Titillium Web" w:eastAsia="Times New Roman" w:hAnsi="Titillium Web" w:cs="Times New Roman"/>
        </w:rPr>
        <w:t>:</w:t>
      </w:r>
      <w:r w:rsidRPr="00A06FB9">
        <w:rPr>
          <w:rFonts w:ascii="Titillium Web" w:eastAsia="Times New Roman" w:hAnsi="Titillium Web" w:cs="Times New Roman"/>
        </w:rPr>
        <w:t xml:space="preserve"> Adóügyi ágazat</w:t>
      </w:r>
      <w:r w:rsidR="00E87F5B">
        <w:rPr>
          <w:rFonts w:ascii="Titillium Web" w:eastAsia="Times New Roman" w:hAnsi="Titillium Web" w:cs="Times New Roman"/>
        </w:rPr>
        <w:t xml:space="preserve"> és Idegen</w:t>
      </w:r>
      <w:r w:rsidR="00606BCC" w:rsidRPr="00A06FB9">
        <w:rPr>
          <w:rFonts w:ascii="Titillium Web" w:eastAsia="Times New Roman" w:hAnsi="Titillium Web" w:cs="Times New Roman"/>
        </w:rPr>
        <w:t>forgalmi adó</w:t>
      </w:r>
      <w:r w:rsidRPr="00A06FB9">
        <w:rPr>
          <w:rFonts w:ascii="Titillium Web" w:eastAsia="Times New Roman" w:hAnsi="Titillium Web" w:cs="Times New Roman"/>
        </w:rPr>
        <w:t xml:space="preserve"> ügytípus.</w:t>
      </w:r>
    </w:p>
    <w:p w14:paraId="715D5EA7" w14:textId="2B7AC9E8" w:rsidR="00654C4F" w:rsidRPr="00A06FB9" w:rsidRDefault="00654C4F" w:rsidP="009F59EE">
      <w:pPr>
        <w:pStyle w:val="Listaszerbekezds"/>
        <w:numPr>
          <w:ilvl w:val="1"/>
          <w:numId w:val="2"/>
        </w:numPr>
        <w:spacing w:after="120" w:line="240" w:lineRule="auto"/>
        <w:ind w:left="1077"/>
        <w:contextualSpacing w:val="0"/>
        <w:jc w:val="both"/>
        <w:rPr>
          <w:rFonts w:ascii="Titillium Web" w:eastAsia="Times New Roman" w:hAnsi="Titillium Web" w:cs="Times New Roman"/>
          <w:bCs/>
        </w:rPr>
      </w:pPr>
      <w:r w:rsidRPr="00A06FB9">
        <w:rPr>
          <w:rFonts w:ascii="Titillium Web" w:eastAsia="Times New Roman" w:hAnsi="Titillium Web" w:cs="Times New Roman"/>
          <w:bCs/>
        </w:rPr>
        <w:t>A</w:t>
      </w:r>
      <w:r w:rsidR="00606BCC" w:rsidRPr="00A06FB9">
        <w:rPr>
          <w:rFonts w:ascii="Titillium Web" w:eastAsia="Times New Roman" w:hAnsi="Titillium Web" w:cs="Times New Roman"/>
          <w:bCs/>
        </w:rPr>
        <w:t xml:space="preserve"> bevallás</w:t>
      </w:r>
      <w:r w:rsidR="00E87F5B">
        <w:rPr>
          <w:rFonts w:ascii="Titillium Web" w:eastAsia="Times New Roman" w:hAnsi="Titillium Web" w:cs="Times New Roman"/>
          <w:bCs/>
        </w:rPr>
        <w:t>nyomtatvány</w:t>
      </w:r>
      <w:r w:rsidR="00606BCC" w:rsidRPr="00A06FB9">
        <w:rPr>
          <w:rFonts w:ascii="Titillium Web" w:eastAsia="Times New Roman" w:hAnsi="Titillium Web" w:cs="Times New Roman"/>
          <w:bCs/>
        </w:rPr>
        <w:t xml:space="preserve"> </w:t>
      </w:r>
      <w:r w:rsidRPr="00A06FB9">
        <w:rPr>
          <w:rFonts w:ascii="Titillium Web" w:eastAsia="Times New Roman" w:hAnsi="Titillium Web" w:cs="Times New Roman"/>
          <w:bCs/>
        </w:rPr>
        <w:t xml:space="preserve">elérhető az </w:t>
      </w:r>
      <w:r w:rsidR="00E87F5B">
        <w:rPr>
          <w:rFonts w:ascii="Titillium Web" w:eastAsia="Times New Roman" w:hAnsi="Titillium Web" w:cs="Times New Roman"/>
          <w:bCs/>
        </w:rPr>
        <w:t>Ö</w:t>
      </w:r>
      <w:r w:rsidRPr="00A06FB9">
        <w:rPr>
          <w:rFonts w:ascii="Titillium Web" w:eastAsia="Times New Roman" w:hAnsi="Titillium Web" w:cs="Times New Roman"/>
          <w:bCs/>
        </w:rPr>
        <w:t>nkormányzat honlapján (</w:t>
      </w:r>
      <w:hyperlink r:id="rId9" w:history="1">
        <w:r w:rsidRPr="00A06FB9">
          <w:rPr>
            <w:rStyle w:val="Hiperhivatkozs"/>
            <w:rFonts w:ascii="Titillium Web" w:eastAsia="Times New Roman" w:hAnsi="Titillium Web" w:cs="Times New Roman"/>
            <w:bCs/>
          </w:rPr>
          <w:t>ferencvaros.hu</w:t>
        </w:r>
      </w:hyperlink>
      <w:r w:rsidRPr="00A06FB9">
        <w:rPr>
          <w:rFonts w:ascii="Titillium Web" w:eastAsia="Times New Roman" w:hAnsi="Titillium Web" w:cs="Times New Roman"/>
          <w:bCs/>
        </w:rPr>
        <w:t>) is.</w:t>
      </w:r>
    </w:p>
    <w:p w14:paraId="076F556A" w14:textId="57D3DA48" w:rsidR="00606BCC" w:rsidRPr="00A06FB9" w:rsidRDefault="00606BCC" w:rsidP="009F59EE">
      <w:pPr>
        <w:pStyle w:val="Listaszerbekezds"/>
        <w:numPr>
          <w:ilvl w:val="1"/>
          <w:numId w:val="2"/>
        </w:numPr>
        <w:spacing w:after="120" w:line="240" w:lineRule="auto"/>
        <w:ind w:left="1077"/>
        <w:contextualSpacing w:val="0"/>
        <w:jc w:val="both"/>
        <w:rPr>
          <w:rFonts w:ascii="Titillium Web" w:eastAsia="Times New Roman" w:hAnsi="Titillium Web" w:cs="Times New Roman"/>
          <w:bCs/>
        </w:rPr>
      </w:pPr>
      <w:r w:rsidRPr="00A06FB9">
        <w:rPr>
          <w:rFonts w:ascii="Titillium Web" w:eastAsia="Times New Roman" w:hAnsi="Titillium Web" w:cs="Times New Roman"/>
          <w:bCs/>
        </w:rPr>
        <w:t>Az adóbeszedésre kötelezettnek az idegenforgalmi adóról a tárgyhónapot követő hónap tizenötödik napjáig kell adóbevallást benyújtani</w:t>
      </w:r>
      <w:r w:rsidR="00E87F5B">
        <w:rPr>
          <w:rFonts w:ascii="Titillium Web" w:eastAsia="Times New Roman" w:hAnsi="Titillium Web" w:cs="Times New Roman"/>
          <w:bCs/>
        </w:rPr>
        <w:t>a</w:t>
      </w:r>
      <w:r w:rsidRPr="00A06FB9">
        <w:rPr>
          <w:rFonts w:ascii="Titillium Web" w:eastAsia="Times New Roman" w:hAnsi="Titillium Web" w:cs="Times New Roman"/>
          <w:bCs/>
        </w:rPr>
        <w:t>.</w:t>
      </w:r>
    </w:p>
    <w:p w14:paraId="4BB93F41" w14:textId="21B6F4E4" w:rsidR="000A552F" w:rsidRPr="00A06FB9" w:rsidRDefault="000A552F" w:rsidP="00E87F5B">
      <w:pPr>
        <w:pStyle w:val="NormlWeb"/>
        <w:numPr>
          <w:ilvl w:val="0"/>
          <w:numId w:val="2"/>
        </w:numPr>
        <w:shd w:val="clear" w:color="auto" w:fill="FFFFFF"/>
        <w:tabs>
          <w:tab w:val="left" w:pos="284"/>
        </w:tabs>
        <w:spacing w:before="0" w:beforeAutospacing="0" w:after="120" w:afterAutospacing="0"/>
        <w:ind w:left="0" w:firstLine="0"/>
        <w:rPr>
          <w:rStyle w:val="Kiemels2"/>
          <w:rFonts w:ascii="Titillium Web" w:eastAsiaTheme="minorHAnsi" w:hAnsi="Titillium Web"/>
          <w:bCs w:val="0"/>
          <w:bdr w:val="none" w:sz="0" w:space="0" w:color="auto" w:frame="1"/>
          <w:lang w:eastAsia="en-US"/>
        </w:rPr>
      </w:pPr>
      <w:r w:rsidRPr="00A06FB9">
        <w:rPr>
          <w:rStyle w:val="Kiemels2"/>
          <w:rFonts w:ascii="Titillium Web" w:eastAsiaTheme="minorHAnsi" w:hAnsi="Titillium Web"/>
          <w:bCs w:val="0"/>
          <w:bdr w:val="none" w:sz="0" w:space="0" w:color="auto" w:frame="1"/>
          <w:lang w:eastAsia="en-US"/>
        </w:rPr>
        <w:t xml:space="preserve">Az </w:t>
      </w:r>
      <w:r w:rsidR="00606BCC" w:rsidRPr="00A06FB9">
        <w:rPr>
          <w:rStyle w:val="Kiemels2"/>
          <w:rFonts w:ascii="Titillium Web" w:eastAsiaTheme="minorHAnsi" w:hAnsi="Titillium Web"/>
          <w:bCs w:val="0"/>
          <w:bdr w:val="none" w:sz="0" w:space="0" w:color="auto" w:frame="1"/>
          <w:lang w:eastAsia="en-US"/>
        </w:rPr>
        <w:t>idegenforgalmi adó</w:t>
      </w:r>
      <w:r w:rsidRPr="00A06FB9">
        <w:rPr>
          <w:rStyle w:val="Kiemels2"/>
          <w:rFonts w:ascii="Titillium Web" w:eastAsiaTheme="minorHAnsi" w:hAnsi="Titillium Web"/>
          <w:bCs w:val="0"/>
          <w:bdr w:val="none" w:sz="0" w:space="0" w:color="auto" w:frame="1"/>
          <w:lang w:eastAsia="en-US"/>
        </w:rPr>
        <w:t xml:space="preserve"> megfizetése</w:t>
      </w:r>
    </w:p>
    <w:p w14:paraId="4A2365C6" w14:textId="20A0A61F" w:rsidR="005D54B5" w:rsidRPr="00A06FB9" w:rsidRDefault="00606BCC" w:rsidP="009F59EE">
      <w:pPr>
        <w:pStyle w:val="Listaszerbekezds"/>
        <w:numPr>
          <w:ilvl w:val="1"/>
          <w:numId w:val="2"/>
        </w:numPr>
        <w:autoSpaceDE w:val="0"/>
        <w:autoSpaceDN w:val="0"/>
        <w:adjustRightInd w:val="0"/>
        <w:spacing w:after="120" w:line="240" w:lineRule="auto"/>
        <w:ind w:left="1077"/>
        <w:contextualSpacing w:val="0"/>
        <w:jc w:val="both"/>
        <w:rPr>
          <w:rFonts w:ascii="Titillium Web" w:hAnsi="Titillium Web" w:cs="Times New Roman"/>
          <w:bCs/>
        </w:rPr>
      </w:pPr>
      <w:r w:rsidRPr="00A06FB9">
        <w:rPr>
          <w:rFonts w:ascii="Titillium Web" w:hAnsi="Titillium Web" w:cs="Times New Roman"/>
          <w:bCs/>
        </w:rPr>
        <w:t>Az adóbeszedésre kötelezett az általa beszedett vagy beszedni elmulasztott idegenforgalmi adót az adóbevallás benyújtására nyitva álló határnapig − azaz a tárgyhónapot követő hónap 15. napjáig − fizeti meg.</w:t>
      </w:r>
    </w:p>
    <w:p w14:paraId="629890BD" w14:textId="62F54875" w:rsidR="005D54B5" w:rsidRPr="00A06FB9" w:rsidRDefault="00CA167F" w:rsidP="009F59EE">
      <w:pPr>
        <w:pStyle w:val="Listaszerbekezds"/>
        <w:numPr>
          <w:ilvl w:val="1"/>
          <w:numId w:val="2"/>
        </w:numPr>
        <w:autoSpaceDE w:val="0"/>
        <w:autoSpaceDN w:val="0"/>
        <w:adjustRightInd w:val="0"/>
        <w:spacing w:after="120" w:line="240" w:lineRule="auto"/>
        <w:ind w:left="1077"/>
        <w:contextualSpacing w:val="0"/>
        <w:jc w:val="both"/>
        <w:rPr>
          <w:rFonts w:ascii="Titillium Web" w:hAnsi="Titillium Web" w:cs="Times New Roman"/>
          <w:bCs/>
        </w:rPr>
      </w:pPr>
      <w:r w:rsidRPr="00A06FB9">
        <w:rPr>
          <w:rFonts w:ascii="Titillium Web" w:hAnsi="Titillium Web" w:cs="Times New Roman"/>
          <w:kern w:val="0"/>
        </w:rPr>
        <w:t xml:space="preserve">Az </w:t>
      </w:r>
      <w:r w:rsidR="00934173">
        <w:rPr>
          <w:rFonts w:ascii="Titillium Web" w:hAnsi="Titillium Web" w:cs="Times New Roman"/>
          <w:kern w:val="0"/>
        </w:rPr>
        <w:t>idegenforgalmi adó</w:t>
      </w:r>
      <w:r w:rsidRPr="00A06FB9">
        <w:rPr>
          <w:rFonts w:ascii="Titillium Web" w:hAnsi="Titillium Web" w:cs="Times New Roman"/>
          <w:kern w:val="0"/>
        </w:rPr>
        <w:t xml:space="preserve"> befizetés</w:t>
      </w:r>
      <w:r w:rsidR="005D54B5" w:rsidRPr="00A06FB9">
        <w:rPr>
          <w:rFonts w:ascii="Titillium Web" w:hAnsi="Titillium Web" w:cs="Times New Roman"/>
          <w:kern w:val="0"/>
        </w:rPr>
        <w:t>e</w:t>
      </w:r>
      <w:r w:rsidRPr="00A06FB9">
        <w:rPr>
          <w:rFonts w:ascii="Titillium Web" w:hAnsi="Titillium Web" w:cs="Times New Roman"/>
          <w:kern w:val="0"/>
        </w:rPr>
        <w:t xml:space="preserve"> Budapest Főváros IX. kerület Ferencváros Önkormányzata </w:t>
      </w:r>
      <w:r w:rsidR="00606BCC" w:rsidRPr="00A06FB9">
        <w:rPr>
          <w:rFonts w:ascii="Titillium Web" w:hAnsi="Titillium Web" w:cs="Times New Roman"/>
          <w:kern w:val="0"/>
        </w:rPr>
        <w:t>idegenforgalmi adó</w:t>
      </w:r>
      <w:r w:rsidRPr="00A06FB9">
        <w:rPr>
          <w:rFonts w:ascii="Titillium Web" w:hAnsi="Titillium Web" w:cs="Times New Roman"/>
          <w:kern w:val="0"/>
        </w:rPr>
        <w:t xml:space="preserve"> számlájára (10401196-0002</w:t>
      </w:r>
      <w:r w:rsidR="00606BCC" w:rsidRPr="00A06FB9">
        <w:rPr>
          <w:rFonts w:ascii="Titillium Web" w:hAnsi="Titillium Web" w:cs="Times New Roman"/>
          <w:kern w:val="0"/>
        </w:rPr>
        <w:t>9062</w:t>
      </w:r>
      <w:r w:rsidRPr="00A06FB9">
        <w:rPr>
          <w:rFonts w:ascii="Titillium Web" w:hAnsi="Titillium Web" w:cs="Times New Roman"/>
          <w:kern w:val="0"/>
        </w:rPr>
        <w:t>-0000000</w:t>
      </w:r>
      <w:r w:rsidR="00606BCC" w:rsidRPr="00A06FB9">
        <w:rPr>
          <w:rFonts w:ascii="Titillium Web" w:hAnsi="Titillium Web" w:cs="Times New Roman"/>
          <w:kern w:val="0"/>
        </w:rPr>
        <w:t>7</w:t>
      </w:r>
      <w:r w:rsidRPr="00A06FB9">
        <w:rPr>
          <w:rFonts w:ascii="Titillium Web" w:hAnsi="Titillium Web" w:cs="Times New Roman"/>
          <w:kern w:val="0"/>
        </w:rPr>
        <w:t>) történő utalással teljesíthet</w:t>
      </w:r>
      <w:r w:rsidR="005D54B5" w:rsidRPr="00A06FB9">
        <w:rPr>
          <w:rFonts w:ascii="Titillium Web" w:hAnsi="Titillium Web" w:cs="Times New Roman"/>
          <w:kern w:val="0"/>
        </w:rPr>
        <w:t>ő</w:t>
      </w:r>
      <w:r w:rsidRPr="00A06FB9">
        <w:rPr>
          <w:rFonts w:ascii="Titillium Web" w:hAnsi="Titillium Web" w:cs="Times New Roman"/>
          <w:kern w:val="0"/>
        </w:rPr>
        <w:t>.</w:t>
      </w:r>
      <w:r w:rsidR="00416991" w:rsidRPr="00A06FB9">
        <w:rPr>
          <w:rFonts w:ascii="Titillium Web" w:hAnsi="Titillium Web" w:cs="Times New Roman"/>
          <w:kern w:val="0"/>
        </w:rPr>
        <w:t xml:space="preserve"> </w:t>
      </w:r>
      <w:r w:rsidR="00416991" w:rsidRPr="00A06FB9">
        <w:rPr>
          <w:rFonts w:ascii="Titillium Web" w:hAnsi="Titillium Web" w:cs="Times New Roman"/>
          <w:bCs/>
        </w:rPr>
        <w:t xml:space="preserve">A közleményben </w:t>
      </w:r>
      <w:r w:rsidR="00E87F5B">
        <w:rPr>
          <w:rFonts w:ascii="Titillium Web" w:hAnsi="Titillium Web" w:cs="Times New Roman"/>
          <w:bCs/>
        </w:rPr>
        <w:t xml:space="preserve">kérjük feltüntetni </w:t>
      </w:r>
      <w:r w:rsidR="00416991" w:rsidRPr="00A06FB9">
        <w:rPr>
          <w:rFonts w:ascii="Titillium Web" w:hAnsi="Titillium Web" w:cs="Times New Roman"/>
          <w:bCs/>
        </w:rPr>
        <w:t>az adószámot/adóazonosító jelet/mutatószámot.</w:t>
      </w:r>
    </w:p>
    <w:p w14:paraId="42D41543" w14:textId="3FB9CDBC" w:rsidR="00197680" w:rsidRPr="00A06FB9" w:rsidRDefault="00197680" w:rsidP="009F59EE">
      <w:pPr>
        <w:pStyle w:val="Listaszerbekezds"/>
        <w:numPr>
          <w:ilvl w:val="1"/>
          <w:numId w:val="2"/>
        </w:numPr>
        <w:autoSpaceDE w:val="0"/>
        <w:autoSpaceDN w:val="0"/>
        <w:adjustRightInd w:val="0"/>
        <w:spacing w:after="120" w:line="240" w:lineRule="auto"/>
        <w:ind w:left="1077"/>
        <w:contextualSpacing w:val="0"/>
        <w:jc w:val="both"/>
        <w:rPr>
          <w:rFonts w:ascii="Titillium Web" w:hAnsi="Titillium Web" w:cs="Times New Roman"/>
          <w:bCs/>
        </w:rPr>
      </w:pPr>
      <w:r w:rsidRPr="00A06FB9">
        <w:rPr>
          <w:rFonts w:ascii="Titillium Web" w:hAnsi="Titillium Web" w:cs="Times New Roman"/>
          <w:bCs/>
        </w:rPr>
        <w:lastRenderedPageBreak/>
        <w:t xml:space="preserve">Ha a helyi adóban az esedékes adó összege az 1000 forintot nem éri el, akkor azt az adóalanynak kizárólag akkor kell megfizetnie, amikor a meg nem fizetett és a jövőben esedékessé váló adó együttes összege az 1000 forintot eléri. Az 1000 forintot el nem érő, korábban esedékessé vált adó után – az adónemben 1000 forintot elérő adófizetési kötelezettség esedékességéig – késedelmi pótlék nem számítható fel. </w:t>
      </w:r>
    </w:p>
    <w:p w14:paraId="0DE63709" w14:textId="5616861A" w:rsidR="00197680" w:rsidRPr="00A06FB9" w:rsidRDefault="00197680" w:rsidP="009F59EE">
      <w:pPr>
        <w:pStyle w:val="Listaszerbekezds"/>
        <w:numPr>
          <w:ilvl w:val="1"/>
          <w:numId w:val="2"/>
        </w:numPr>
        <w:autoSpaceDE w:val="0"/>
        <w:autoSpaceDN w:val="0"/>
        <w:adjustRightInd w:val="0"/>
        <w:spacing w:after="120" w:line="240" w:lineRule="auto"/>
        <w:ind w:left="1077"/>
        <w:contextualSpacing w:val="0"/>
        <w:jc w:val="both"/>
        <w:rPr>
          <w:rFonts w:ascii="Titillium Web" w:hAnsi="Titillium Web" w:cs="Times New Roman"/>
          <w:bCs/>
        </w:rPr>
      </w:pPr>
      <w:r w:rsidRPr="00A06FB9">
        <w:rPr>
          <w:rFonts w:ascii="Titillium Web" w:hAnsi="Titillium Web" w:cs="Times New Roman"/>
          <w:bCs/>
        </w:rPr>
        <w:t xml:space="preserve">A fizetési határidő leteltekor az önkormányzati adóhatóság ellenőrzi, hogy a befizetés megtörtént-e. Az adó határidőben történő megfizetésének elmulasztása esetén késedelmi pótlék kerül megállapításra. Ha az adóbeszedésre kötelezett adóbeszedési kötelezettségét részben vagy egészben elmulasztotta, vagy a beszedett, illetve megállapított és levont adót nem fizette meg, </w:t>
      </w:r>
      <w:r w:rsidRPr="00A06FB9">
        <w:rPr>
          <w:rFonts w:ascii="Titillium Web" w:hAnsi="Titillium Web" w:cs="Times New Roman"/>
          <w:b/>
        </w:rPr>
        <w:t>késedelmi pótlék mellett 50%-</w:t>
      </w:r>
      <w:proofErr w:type="spellStart"/>
      <w:r w:rsidRPr="00A06FB9">
        <w:rPr>
          <w:rFonts w:ascii="Titillium Web" w:hAnsi="Titillium Web" w:cs="Times New Roman"/>
          <w:b/>
        </w:rPr>
        <w:t>ig</w:t>
      </w:r>
      <w:proofErr w:type="spellEnd"/>
      <w:r w:rsidRPr="00A06FB9">
        <w:rPr>
          <w:rFonts w:ascii="Titillium Web" w:hAnsi="Titillium Web" w:cs="Times New Roman"/>
          <w:b/>
        </w:rPr>
        <w:t xml:space="preserve"> terjedő mulasztási bírságot</w:t>
      </w:r>
      <w:r w:rsidRPr="00A06FB9">
        <w:rPr>
          <w:rFonts w:ascii="Titillium Web" w:hAnsi="Titillium Web" w:cs="Times New Roman"/>
          <w:bCs/>
        </w:rPr>
        <w:t xml:space="preserve"> fizet. A bírság alapja a beszedni, levonni, illetve megfizetni elmulasztott adó összege. </w:t>
      </w:r>
    </w:p>
    <w:p w14:paraId="12F3105D" w14:textId="17AD6E65" w:rsidR="00197680" w:rsidRPr="00A06FB9" w:rsidRDefault="00197680" w:rsidP="009F59EE">
      <w:pPr>
        <w:pStyle w:val="Listaszerbekezds"/>
        <w:numPr>
          <w:ilvl w:val="1"/>
          <w:numId w:val="2"/>
        </w:numPr>
        <w:autoSpaceDE w:val="0"/>
        <w:autoSpaceDN w:val="0"/>
        <w:adjustRightInd w:val="0"/>
        <w:spacing w:after="120" w:line="240" w:lineRule="auto"/>
        <w:ind w:left="1077"/>
        <w:contextualSpacing w:val="0"/>
        <w:jc w:val="both"/>
        <w:rPr>
          <w:rFonts w:ascii="Titillium Web" w:hAnsi="Titillium Web" w:cs="Times New Roman"/>
          <w:bCs/>
        </w:rPr>
      </w:pPr>
      <w:r w:rsidRPr="00A06FB9">
        <w:rPr>
          <w:rFonts w:ascii="Titillium Web" w:hAnsi="Titillium Web" w:cs="Times New Roman"/>
          <w:bCs/>
        </w:rPr>
        <w:t>Abban az esetben, ha az adóbeszedésre kötelezett nem fizeti meg az idegenforgalmi adó összegét, akkor felszólításra kerül az elmulasztott cselekmény pótlására. Amennyiben az adóbeszedésre kötelezett ennek ellenére sem teljesíti az adófizetési kötelezettségét, akkor az önkormányzati adóhatóság végrehajtási eljárást indít a hátralék behajtása érdekében.</w:t>
      </w:r>
    </w:p>
    <w:p w14:paraId="0B7E4A75" w14:textId="77777777" w:rsidR="00FE7BA2" w:rsidRPr="00A06FB9" w:rsidRDefault="00FE7BA2" w:rsidP="00E87F5B">
      <w:pPr>
        <w:pStyle w:val="NormlWeb"/>
        <w:numPr>
          <w:ilvl w:val="0"/>
          <w:numId w:val="2"/>
        </w:numPr>
        <w:shd w:val="clear" w:color="auto" w:fill="FFFFFF"/>
        <w:tabs>
          <w:tab w:val="left" w:pos="426"/>
        </w:tabs>
        <w:spacing w:before="0" w:beforeAutospacing="0" w:after="120" w:afterAutospacing="0"/>
        <w:ind w:left="0" w:firstLine="0"/>
        <w:rPr>
          <w:rStyle w:val="Kiemels2"/>
          <w:rFonts w:ascii="Titillium Web" w:eastAsiaTheme="minorHAnsi" w:hAnsi="Titillium Web"/>
          <w:bCs w:val="0"/>
          <w:bdr w:val="none" w:sz="0" w:space="0" w:color="auto" w:frame="1"/>
          <w:lang w:eastAsia="en-US"/>
        </w:rPr>
      </w:pPr>
      <w:r w:rsidRPr="00A06FB9">
        <w:rPr>
          <w:rStyle w:val="Kiemels2"/>
          <w:rFonts w:ascii="Titillium Web" w:eastAsiaTheme="minorHAnsi" w:hAnsi="Titillium Web"/>
          <w:bCs w:val="0"/>
          <w:bdr w:val="none" w:sz="0" w:space="0" w:color="auto" w:frame="1"/>
          <w:lang w:eastAsia="en-US"/>
        </w:rPr>
        <w:t>Bővebb információ</w:t>
      </w:r>
    </w:p>
    <w:p w14:paraId="68607E30" w14:textId="61B13692" w:rsidR="001A278C" w:rsidRPr="00A06FB9" w:rsidRDefault="001A278C" w:rsidP="009F59EE">
      <w:pPr>
        <w:pStyle w:val="NormlWeb"/>
        <w:shd w:val="clear" w:color="auto" w:fill="FFFFFF"/>
        <w:spacing w:before="0" w:beforeAutospacing="0" w:after="120" w:afterAutospacing="0"/>
        <w:ind w:left="709"/>
        <w:jc w:val="both"/>
        <w:rPr>
          <w:rFonts w:ascii="Titillium Web" w:hAnsi="Titillium Web"/>
        </w:rPr>
      </w:pPr>
      <w:r w:rsidRPr="00A06FB9">
        <w:rPr>
          <w:rFonts w:ascii="Titillium Web" w:hAnsi="Titillium Web"/>
        </w:rPr>
        <w:t>Ha az E-Önkormányzat Portálon (</w:t>
      </w:r>
      <w:hyperlink r:id="rId10" w:history="1">
        <w:r w:rsidRPr="00A06FB9">
          <w:rPr>
            <w:rStyle w:val="Hiperhivatkozs"/>
            <w:rFonts w:ascii="Titillium Web" w:hAnsi="Titillium Web"/>
          </w:rPr>
          <w:t>E-Önkormányzat Portál</w:t>
        </w:r>
      </w:hyperlink>
      <w:r w:rsidRPr="00A06FB9">
        <w:rPr>
          <w:rFonts w:ascii="Titillium Web" w:hAnsi="Titillium Web"/>
        </w:rPr>
        <w:t xml:space="preserve">), illetőleg az önkormányzat honlapján </w:t>
      </w:r>
      <w:r w:rsidRPr="00A06FB9">
        <w:rPr>
          <w:rFonts w:ascii="Titillium Web" w:hAnsi="Titillium Web"/>
          <w:bCs/>
        </w:rPr>
        <w:t>(</w:t>
      </w:r>
      <w:hyperlink r:id="rId11" w:history="1">
        <w:r w:rsidRPr="00A06FB9">
          <w:rPr>
            <w:rStyle w:val="Hiperhivatkozs"/>
            <w:rFonts w:ascii="Titillium Web" w:hAnsi="Titillium Web"/>
            <w:bCs/>
          </w:rPr>
          <w:t>ferencvaros.hu</w:t>
        </w:r>
      </w:hyperlink>
      <w:r w:rsidRPr="00A06FB9">
        <w:rPr>
          <w:rFonts w:ascii="Titillium Web" w:hAnsi="Titillium Web"/>
          <w:bCs/>
        </w:rPr>
        <w:t>)</w:t>
      </w:r>
      <w:r w:rsidRPr="00A06FB9">
        <w:rPr>
          <w:rFonts w:ascii="Titillium Web" w:hAnsi="Titillium Web"/>
        </w:rPr>
        <w:t xml:space="preserve"> elérhető információkon túl segítségre van szüksége</w:t>
      </w:r>
      <w:r w:rsidR="00A46F53" w:rsidRPr="00A06FB9">
        <w:rPr>
          <w:rFonts w:ascii="Titillium Web" w:hAnsi="Titillium Web"/>
        </w:rPr>
        <w:t xml:space="preserve"> </w:t>
      </w:r>
      <w:r w:rsidRPr="00A06FB9">
        <w:rPr>
          <w:rFonts w:ascii="Titillium Web" w:hAnsi="Titillium Web"/>
          <w:b/>
          <w:bCs/>
        </w:rPr>
        <w:t>személyesen</w:t>
      </w:r>
      <w:r w:rsidRPr="00A06FB9">
        <w:rPr>
          <w:rFonts w:ascii="Titillium Web" w:hAnsi="Titillium Web"/>
        </w:rPr>
        <w:t xml:space="preserve"> (ügyfélfogadási időben: hétfő 13:00-17:30, szerda 8:00-16:00, péntek 8:00-12:00, az Adóhatósági Csoport hivatali helyiségében: 1093 Budapest, Bakáts u. 8. szám alatt a földszinti irodában) vagy </w:t>
      </w:r>
      <w:r w:rsidRPr="00A06FB9">
        <w:rPr>
          <w:rFonts w:ascii="Titillium Web" w:hAnsi="Titillium Web"/>
          <w:b/>
          <w:bCs/>
        </w:rPr>
        <w:t>telefonon</w:t>
      </w:r>
      <w:r w:rsidRPr="00A06FB9">
        <w:rPr>
          <w:rFonts w:ascii="Titillium Web" w:hAnsi="Titillium Web"/>
        </w:rPr>
        <w:t xml:space="preserve"> (36 1 215-1077/</w:t>
      </w:r>
      <w:r w:rsidR="00606BCC" w:rsidRPr="00A06FB9">
        <w:rPr>
          <w:rFonts w:ascii="Titillium Web" w:hAnsi="Titillium Web"/>
        </w:rPr>
        <w:t>427</w:t>
      </w:r>
      <w:r w:rsidR="00A46F53" w:rsidRPr="00A06FB9">
        <w:rPr>
          <w:rFonts w:ascii="Titillium Web" w:hAnsi="Titillium Web"/>
        </w:rPr>
        <w:t>)</w:t>
      </w:r>
      <w:r w:rsidRPr="00A06FB9">
        <w:rPr>
          <w:rFonts w:ascii="Titillium Web" w:hAnsi="Titillium Web"/>
        </w:rPr>
        <w:t xml:space="preserve"> is állunk rendelkezésre.</w:t>
      </w:r>
    </w:p>
    <w:p w14:paraId="6D0FDCF4" w14:textId="77777777" w:rsidR="00FE7BA2" w:rsidRPr="00A06FB9" w:rsidRDefault="00FE7BA2" w:rsidP="00E87F5B">
      <w:pPr>
        <w:pStyle w:val="NormlWeb"/>
        <w:numPr>
          <w:ilvl w:val="0"/>
          <w:numId w:val="2"/>
        </w:numPr>
        <w:shd w:val="clear" w:color="auto" w:fill="FFFFFF"/>
        <w:tabs>
          <w:tab w:val="left" w:pos="426"/>
        </w:tabs>
        <w:spacing w:before="0" w:beforeAutospacing="0" w:after="120" w:afterAutospacing="0"/>
        <w:ind w:left="0" w:firstLine="0"/>
        <w:rPr>
          <w:rStyle w:val="Kiemels2"/>
          <w:rFonts w:ascii="Titillium Web" w:eastAsiaTheme="minorHAnsi" w:hAnsi="Titillium Web"/>
          <w:bCs w:val="0"/>
          <w:bdr w:val="none" w:sz="0" w:space="0" w:color="auto" w:frame="1"/>
          <w:lang w:eastAsia="en-US"/>
        </w:rPr>
      </w:pPr>
      <w:r w:rsidRPr="00A06FB9">
        <w:rPr>
          <w:rStyle w:val="Kiemels2"/>
          <w:rFonts w:ascii="Titillium Web" w:eastAsiaTheme="minorHAnsi" w:hAnsi="Titillium Web"/>
          <w:bCs w:val="0"/>
          <w:bdr w:val="none" w:sz="0" w:space="0" w:color="auto" w:frame="1"/>
          <w:lang w:eastAsia="en-US"/>
        </w:rPr>
        <w:t>Vonatkozó jogszabályok</w:t>
      </w:r>
    </w:p>
    <w:p w14:paraId="67CD32E9" w14:textId="77777777" w:rsidR="00416991" w:rsidRPr="00A06FB9" w:rsidRDefault="00A46F53" w:rsidP="009F59EE">
      <w:pPr>
        <w:pStyle w:val="Listaszerbekezds"/>
        <w:numPr>
          <w:ilvl w:val="1"/>
          <w:numId w:val="2"/>
        </w:numPr>
        <w:autoSpaceDE w:val="0"/>
        <w:autoSpaceDN w:val="0"/>
        <w:adjustRightInd w:val="0"/>
        <w:spacing w:after="120" w:line="240" w:lineRule="auto"/>
        <w:ind w:left="1077"/>
        <w:contextualSpacing w:val="0"/>
        <w:jc w:val="both"/>
        <w:rPr>
          <w:rFonts w:ascii="Titillium Web" w:hAnsi="Titillium Web" w:cs="Times New Roman"/>
          <w:bCs/>
        </w:rPr>
      </w:pPr>
      <w:r w:rsidRPr="00A06FB9">
        <w:rPr>
          <w:rFonts w:ascii="Titillium Web" w:hAnsi="Titillium Web" w:cs="Times New Roman"/>
          <w:bCs/>
        </w:rPr>
        <w:t>a Polgári Törvénykönyvről szóló 2013. évi V. törvény (Ptk.)</w:t>
      </w:r>
    </w:p>
    <w:p w14:paraId="2DC242F9" w14:textId="77777777" w:rsidR="00416991" w:rsidRPr="00A06FB9" w:rsidRDefault="00A46F53" w:rsidP="009F59EE">
      <w:pPr>
        <w:pStyle w:val="Listaszerbekezds"/>
        <w:numPr>
          <w:ilvl w:val="1"/>
          <w:numId w:val="2"/>
        </w:numPr>
        <w:autoSpaceDE w:val="0"/>
        <w:autoSpaceDN w:val="0"/>
        <w:adjustRightInd w:val="0"/>
        <w:spacing w:after="120" w:line="240" w:lineRule="auto"/>
        <w:ind w:left="1077"/>
        <w:contextualSpacing w:val="0"/>
        <w:jc w:val="both"/>
        <w:rPr>
          <w:rFonts w:ascii="Titillium Web" w:hAnsi="Titillium Web" w:cs="Times New Roman"/>
          <w:bCs/>
        </w:rPr>
      </w:pPr>
      <w:r w:rsidRPr="00A06FB9">
        <w:rPr>
          <w:rFonts w:ascii="Titillium Web" w:hAnsi="Titillium Web" w:cs="Times New Roman"/>
          <w:bCs/>
        </w:rPr>
        <w:t>a digitális államról és a digitális szolgáltatások nyújtásának egyes szabályairól szóló 2023. évi CIII. törvény (</w:t>
      </w:r>
      <w:proofErr w:type="spellStart"/>
      <w:r w:rsidRPr="00A06FB9">
        <w:rPr>
          <w:rFonts w:ascii="Titillium Web" w:hAnsi="Titillium Web" w:cs="Times New Roman"/>
          <w:bCs/>
        </w:rPr>
        <w:t>Dáptv</w:t>
      </w:r>
      <w:proofErr w:type="spellEnd"/>
      <w:r w:rsidRPr="00A06FB9">
        <w:rPr>
          <w:rFonts w:ascii="Titillium Web" w:hAnsi="Titillium Web" w:cs="Times New Roman"/>
          <w:bCs/>
        </w:rPr>
        <w:t>.)</w:t>
      </w:r>
    </w:p>
    <w:p w14:paraId="09BF07B6" w14:textId="77777777" w:rsidR="00416991" w:rsidRPr="00A06FB9" w:rsidRDefault="00A46F53" w:rsidP="009F59EE">
      <w:pPr>
        <w:pStyle w:val="Listaszerbekezds"/>
        <w:numPr>
          <w:ilvl w:val="1"/>
          <w:numId w:val="2"/>
        </w:numPr>
        <w:autoSpaceDE w:val="0"/>
        <w:autoSpaceDN w:val="0"/>
        <w:adjustRightInd w:val="0"/>
        <w:spacing w:after="120" w:line="240" w:lineRule="auto"/>
        <w:ind w:left="1077"/>
        <w:contextualSpacing w:val="0"/>
        <w:jc w:val="both"/>
        <w:rPr>
          <w:rFonts w:ascii="Titillium Web" w:hAnsi="Titillium Web" w:cs="Times New Roman"/>
          <w:bCs/>
        </w:rPr>
      </w:pPr>
      <w:r w:rsidRPr="00A06FB9">
        <w:rPr>
          <w:rFonts w:ascii="Titillium Web" w:hAnsi="Titillium Web" w:cs="Times New Roman"/>
          <w:bCs/>
        </w:rPr>
        <w:t>az adózás rendjéről szóló 2017. évi CL. törvény (Art.)</w:t>
      </w:r>
    </w:p>
    <w:p w14:paraId="0C0C0BEA" w14:textId="77777777" w:rsidR="00416991" w:rsidRPr="00A06FB9" w:rsidRDefault="000A552F" w:rsidP="009F59EE">
      <w:pPr>
        <w:pStyle w:val="Listaszerbekezds"/>
        <w:numPr>
          <w:ilvl w:val="1"/>
          <w:numId w:val="2"/>
        </w:numPr>
        <w:autoSpaceDE w:val="0"/>
        <w:autoSpaceDN w:val="0"/>
        <w:adjustRightInd w:val="0"/>
        <w:spacing w:after="120" w:line="240" w:lineRule="auto"/>
        <w:ind w:left="1077"/>
        <w:contextualSpacing w:val="0"/>
        <w:jc w:val="both"/>
        <w:rPr>
          <w:rFonts w:ascii="Titillium Web" w:hAnsi="Titillium Web" w:cs="Times New Roman"/>
          <w:bCs/>
        </w:rPr>
      </w:pPr>
      <w:r w:rsidRPr="00A06FB9">
        <w:rPr>
          <w:rFonts w:ascii="Titillium Web" w:hAnsi="Titillium Web" w:cs="Times New Roman"/>
          <w:bCs/>
        </w:rPr>
        <w:t>az adóigazgatási rendtartásról szóló 2017. évi CLI. törvény (Air.)</w:t>
      </w:r>
    </w:p>
    <w:p w14:paraId="7DA459BF" w14:textId="77777777" w:rsidR="00416991" w:rsidRPr="00A06FB9" w:rsidRDefault="00A46F53" w:rsidP="009F59EE">
      <w:pPr>
        <w:pStyle w:val="Listaszerbekezds"/>
        <w:numPr>
          <w:ilvl w:val="1"/>
          <w:numId w:val="2"/>
        </w:numPr>
        <w:autoSpaceDE w:val="0"/>
        <w:autoSpaceDN w:val="0"/>
        <w:adjustRightInd w:val="0"/>
        <w:spacing w:after="120" w:line="240" w:lineRule="auto"/>
        <w:ind w:left="1077"/>
        <w:contextualSpacing w:val="0"/>
        <w:jc w:val="both"/>
        <w:rPr>
          <w:rFonts w:ascii="Titillium Web" w:hAnsi="Titillium Web" w:cs="Times New Roman"/>
          <w:bCs/>
        </w:rPr>
      </w:pPr>
      <w:r w:rsidRPr="00A06FB9">
        <w:rPr>
          <w:rFonts w:ascii="Titillium Web" w:hAnsi="Titillium Web" w:cs="Times New Roman"/>
          <w:bCs/>
        </w:rPr>
        <w:t>a helyi adókról szóló 1990. évi C. törvény (</w:t>
      </w:r>
      <w:proofErr w:type="spellStart"/>
      <w:r w:rsidRPr="00A06FB9">
        <w:rPr>
          <w:rFonts w:ascii="Titillium Web" w:hAnsi="Titillium Web" w:cs="Times New Roman"/>
          <w:bCs/>
        </w:rPr>
        <w:t>Htv</w:t>
      </w:r>
      <w:proofErr w:type="spellEnd"/>
      <w:r w:rsidRPr="00A06FB9">
        <w:rPr>
          <w:rFonts w:ascii="Titillium Web" w:hAnsi="Titillium Web" w:cs="Times New Roman"/>
          <w:bCs/>
        </w:rPr>
        <w:t xml:space="preserve">.) </w:t>
      </w:r>
    </w:p>
    <w:p w14:paraId="149C6F35" w14:textId="02A95E5A" w:rsidR="00FE7BA2" w:rsidRPr="00A06FB9" w:rsidRDefault="00A46F53" w:rsidP="009F59EE">
      <w:pPr>
        <w:pStyle w:val="Listaszerbekezds"/>
        <w:numPr>
          <w:ilvl w:val="1"/>
          <w:numId w:val="2"/>
        </w:numPr>
        <w:autoSpaceDE w:val="0"/>
        <w:autoSpaceDN w:val="0"/>
        <w:adjustRightInd w:val="0"/>
        <w:spacing w:after="120" w:line="240" w:lineRule="auto"/>
        <w:ind w:left="1077"/>
        <w:contextualSpacing w:val="0"/>
        <w:jc w:val="both"/>
        <w:rPr>
          <w:rFonts w:ascii="Titillium Web" w:hAnsi="Titillium Web" w:cs="Times New Roman"/>
          <w:bCs/>
        </w:rPr>
      </w:pPr>
      <w:r w:rsidRPr="00A06FB9">
        <w:rPr>
          <w:rFonts w:ascii="Titillium Web" w:hAnsi="Titillium Web" w:cs="Times New Roman"/>
          <w:bCs/>
        </w:rPr>
        <w:lastRenderedPageBreak/>
        <w:t xml:space="preserve">a Budapest Főváros IX. kerület Ferencváros Önkormányzata Képviselő testületének az </w:t>
      </w:r>
      <w:r w:rsidR="00606BCC" w:rsidRPr="00A06FB9">
        <w:rPr>
          <w:rFonts w:ascii="Titillium Web" w:hAnsi="Titillium Web" w:cs="Times New Roman"/>
          <w:bCs/>
        </w:rPr>
        <w:t>idegenfogalmi adó helyi bevezetéséről</w:t>
      </w:r>
      <w:r w:rsidRPr="00A06FB9">
        <w:rPr>
          <w:rFonts w:ascii="Titillium Web" w:hAnsi="Titillium Web" w:cs="Times New Roman"/>
          <w:bCs/>
        </w:rPr>
        <w:t xml:space="preserve"> szóló </w:t>
      </w:r>
      <w:r w:rsidR="00606BCC" w:rsidRPr="00A06FB9">
        <w:rPr>
          <w:rFonts w:ascii="Titillium Web" w:hAnsi="Titillium Web" w:cs="Times New Roman"/>
          <w:bCs/>
        </w:rPr>
        <w:t>38</w:t>
      </w:r>
      <w:r w:rsidRPr="00A06FB9">
        <w:rPr>
          <w:rFonts w:ascii="Titillium Web" w:hAnsi="Titillium Web" w:cs="Times New Roman"/>
          <w:bCs/>
        </w:rPr>
        <w:t>/20</w:t>
      </w:r>
      <w:r w:rsidR="00606BCC" w:rsidRPr="00A06FB9">
        <w:rPr>
          <w:rFonts w:ascii="Titillium Web" w:hAnsi="Titillium Web" w:cs="Times New Roman"/>
          <w:bCs/>
        </w:rPr>
        <w:t>10</w:t>
      </w:r>
      <w:r w:rsidRPr="00A06FB9">
        <w:rPr>
          <w:rFonts w:ascii="Titillium Web" w:hAnsi="Titillium Web" w:cs="Times New Roman"/>
          <w:bCs/>
        </w:rPr>
        <w:t>. (X</w:t>
      </w:r>
      <w:r w:rsidR="00606BCC" w:rsidRPr="00A06FB9">
        <w:rPr>
          <w:rFonts w:ascii="Titillium Web" w:hAnsi="Titillium Web" w:cs="Times New Roman"/>
          <w:bCs/>
        </w:rPr>
        <w:t>I</w:t>
      </w:r>
      <w:r w:rsidRPr="00A06FB9">
        <w:rPr>
          <w:rFonts w:ascii="Titillium Web" w:hAnsi="Titillium Web" w:cs="Times New Roman"/>
          <w:bCs/>
        </w:rPr>
        <w:t>I. 3</w:t>
      </w:r>
      <w:r w:rsidR="00606BCC" w:rsidRPr="00A06FB9">
        <w:rPr>
          <w:rFonts w:ascii="Titillium Web" w:hAnsi="Titillium Web" w:cs="Times New Roman"/>
          <w:bCs/>
        </w:rPr>
        <w:t>1</w:t>
      </w:r>
      <w:r w:rsidRPr="00A06FB9">
        <w:rPr>
          <w:rFonts w:ascii="Titillium Web" w:hAnsi="Titillium Web" w:cs="Times New Roman"/>
          <w:bCs/>
        </w:rPr>
        <w:t>.) önkormányzati rendelete</w:t>
      </w:r>
    </w:p>
    <w:sectPr w:rsidR="00FE7BA2" w:rsidRPr="00A06FB9" w:rsidSect="009F59EE">
      <w:footerReference w:type="default" r:id="rId12"/>
      <w:pgSz w:w="11906" w:h="16838"/>
      <w:pgMar w:top="1418" w:right="1417" w:bottom="141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4F58F" w14:textId="77777777" w:rsidR="006535FA" w:rsidRDefault="006535FA" w:rsidP="005B6536">
      <w:pPr>
        <w:spacing w:after="0" w:line="240" w:lineRule="auto"/>
      </w:pPr>
      <w:r>
        <w:separator/>
      </w:r>
    </w:p>
  </w:endnote>
  <w:endnote w:type="continuationSeparator" w:id="0">
    <w:p w14:paraId="0A7A6AAE" w14:textId="77777777" w:rsidR="006535FA" w:rsidRDefault="006535FA" w:rsidP="005B65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tillium Web">
    <w:charset w:val="EE"/>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9759366"/>
      <w:docPartObj>
        <w:docPartGallery w:val="Page Numbers (Bottom of Page)"/>
        <w:docPartUnique/>
      </w:docPartObj>
    </w:sdtPr>
    <w:sdtEndPr>
      <w:rPr>
        <w:rFonts w:ascii="Titillium Web" w:hAnsi="Titillium Web"/>
      </w:rPr>
    </w:sdtEndPr>
    <w:sdtContent>
      <w:p w14:paraId="447586E6" w14:textId="5ED0A643" w:rsidR="005B6536" w:rsidRPr="005B6536" w:rsidRDefault="005B6536" w:rsidP="005B6536">
        <w:pPr>
          <w:pStyle w:val="llb"/>
          <w:jc w:val="right"/>
          <w:rPr>
            <w:rFonts w:ascii="Titillium Web" w:hAnsi="Titillium Web"/>
          </w:rPr>
        </w:pPr>
        <w:r w:rsidRPr="005B6536">
          <w:rPr>
            <w:rFonts w:ascii="Titillium Web" w:hAnsi="Titillium Web"/>
          </w:rPr>
          <w:fldChar w:fldCharType="begin"/>
        </w:r>
        <w:r w:rsidRPr="005B6536">
          <w:rPr>
            <w:rFonts w:ascii="Titillium Web" w:hAnsi="Titillium Web"/>
          </w:rPr>
          <w:instrText>PAGE   \* MERGEFORMAT</w:instrText>
        </w:r>
        <w:r w:rsidRPr="005B6536">
          <w:rPr>
            <w:rFonts w:ascii="Titillium Web" w:hAnsi="Titillium Web"/>
          </w:rPr>
          <w:fldChar w:fldCharType="separate"/>
        </w:r>
        <w:r w:rsidRPr="005B6536">
          <w:rPr>
            <w:rFonts w:ascii="Titillium Web" w:hAnsi="Titillium Web"/>
          </w:rPr>
          <w:t>2</w:t>
        </w:r>
        <w:r w:rsidRPr="005B6536">
          <w:rPr>
            <w:rFonts w:ascii="Titillium Web" w:hAnsi="Titillium Web"/>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67CCC" w14:textId="77777777" w:rsidR="006535FA" w:rsidRDefault="006535FA" w:rsidP="005B6536">
      <w:pPr>
        <w:spacing w:after="0" w:line="240" w:lineRule="auto"/>
      </w:pPr>
      <w:r>
        <w:separator/>
      </w:r>
    </w:p>
  </w:footnote>
  <w:footnote w:type="continuationSeparator" w:id="0">
    <w:p w14:paraId="46EE415B" w14:textId="77777777" w:rsidR="006535FA" w:rsidRDefault="006535FA" w:rsidP="005B65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C3A7E"/>
    <w:multiLevelType w:val="multilevel"/>
    <w:tmpl w:val="56289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A55557"/>
    <w:multiLevelType w:val="multilevel"/>
    <w:tmpl w:val="32EE41A8"/>
    <w:lvl w:ilvl="0">
      <w:start w:val="1"/>
      <w:numFmt w:val="decimal"/>
      <w:lvlText w:val="%1."/>
      <w:lvlJc w:val="left"/>
      <w:pPr>
        <w:ind w:left="720" w:hanging="360"/>
      </w:pPr>
      <w:rPr>
        <w:b/>
        <w:bCs/>
      </w:rPr>
    </w:lvl>
    <w:lvl w:ilvl="1">
      <w:start w:val="1"/>
      <w:numFmt w:val="decimal"/>
      <w:isLgl/>
      <w:lvlText w:val="%1.%2."/>
      <w:lvlJc w:val="left"/>
      <w:pPr>
        <w:ind w:left="1080" w:hanging="720"/>
      </w:pPr>
      <w:rPr>
        <w:rFonts w:ascii="Titillium Web" w:hAnsi="Titillium Web" w:hint="default"/>
        <w:b/>
        <w:bCs/>
        <w:sz w:val="24"/>
        <w:szCs w:val="24"/>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38D6033"/>
    <w:multiLevelType w:val="multilevel"/>
    <w:tmpl w:val="609CC488"/>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4671BC3"/>
    <w:multiLevelType w:val="multilevel"/>
    <w:tmpl w:val="67A8F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900B48"/>
    <w:multiLevelType w:val="multilevel"/>
    <w:tmpl w:val="7FE27C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26B207C"/>
    <w:multiLevelType w:val="multilevel"/>
    <w:tmpl w:val="32EE41A8"/>
    <w:lvl w:ilvl="0">
      <w:start w:val="1"/>
      <w:numFmt w:val="decimal"/>
      <w:lvlText w:val="%1."/>
      <w:lvlJc w:val="left"/>
      <w:pPr>
        <w:ind w:left="720" w:hanging="360"/>
      </w:pPr>
      <w:rPr>
        <w:b/>
        <w:bCs/>
      </w:rPr>
    </w:lvl>
    <w:lvl w:ilvl="1">
      <w:start w:val="1"/>
      <w:numFmt w:val="decimal"/>
      <w:isLgl/>
      <w:lvlText w:val="%1.%2."/>
      <w:lvlJc w:val="left"/>
      <w:pPr>
        <w:ind w:left="1080" w:hanging="720"/>
      </w:pPr>
      <w:rPr>
        <w:rFonts w:ascii="Titillium Web" w:hAnsi="Titillium Web" w:hint="default"/>
        <w:b/>
        <w:bCs/>
        <w:sz w:val="24"/>
        <w:szCs w:val="24"/>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86D0CE3"/>
    <w:multiLevelType w:val="hybridMultilevel"/>
    <w:tmpl w:val="13146332"/>
    <w:lvl w:ilvl="0" w:tplc="5FDE4504">
      <w:start w:val="1"/>
      <w:numFmt w:val="bullet"/>
      <w:lvlText w:val="−"/>
      <w:lvlJc w:val="left"/>
      <w:pPr>
        <w:ind w:left="1276" w:hanging="360"/>
      </w:pPr>
      <w:rPr>
        <w:rFonts w:ascii="Times New Roman" w:hAnsi="Times New Roman" w:cs="Times New Roman" w:hint="default"/>
      </w:rPr>
    </w:lvl>
    <w:lvl w:ilvl="1" w:tplc="040E0003" w:tentative="1">
      <w:start w:val="1"/>
      <w:numFmt w:val="bullet"/>
      <w:lvlText w:val="o"/>
      <w:lvlJc w:val="left"/>
      <w:pPr>
        <w:ind w:left="1996" w:hanging="360"/>
      </w:pPr>
      <w:rPr>
        <w:rFonts w:ascii="Courier New" w:hAnsi="Courier New" w:cs="Courier New" w:hint="default"/>
      </w:rPr>
    </w:lvl>
    <w:lvl w:ilvl="2" w:tplc="040E0005" w:tentative="1">
      <w:start w:val="1"/>
      <w:numFmt w:val="bullet"/>
      <w:lvlText w:val=""/>
      <w:lvlJc w:val="left"/>
      <w:pPr>
        <w:ind w:left="2716" w:hanging="360"/>
      </w:pPr>
      <w:rPr>
        <w:rFonts w:ascii="Wingdings" w:hAnsi="Wingdings" w:hint="default"/>
      </w:rPr>
    </w:lvl>
    <w:lvl w:ilvl="3" w:tplc="040E0001" w:tentative="1">
      <w:start w:val="1"/>
      <w:numFmt w:val="bullet"/>
      <w:lvlText w:val=""/>
      <w:lvlJc w:val="left"/>
      <w:pPr>
        <w:ind w:left="3436" w:hanging="360"/>
      </w:pPr>
      <w:rPr>
        <w:rFonts w:ascii="Symbol" w:hAnsi="Symbol" w:hint="default"/>
      </w:rPr>
    </w:lvl>
    <w:lvl w:ilvl="4" w:tplc="040E0003" w:tentative="1">
      <w:start w:val="1"/>
      <w:numFmt w:val="bullet"/>
      <w:lvlText w:val="o"/>
      <w:lvlJc w:val="left"/>
      <w:pPr>
        <w:ind w:left="4156" w:hanging="360"/>
      </w:pPr>
      <w:rPr>
        <w:rFonts w:ascii="Courier New" w:hAnsi="Courier New" w:cs="Courier New" w:hint="default"/>
      </w:rPr>
    </w:lvl>
    <w:lvl w:ilvl="5" w:tplc="040E0005" w:tentative="1">
      <w:start w:val="1"/>
      <w:numFmt w:val="bullet"/>
      <w:lvlText w:val=""/>
      <w:lvlJc w:val="left"/>
      <w:pPr>
        <w:ind w:left="4876" w:hanging="360"/>
      </w:pPr>
      <w:rPr>
        <w:rFonts w:ascii="Wingdings" w:hAnsi="Wingdings" w:hint="default"/>
      </w:rPr>
    </w:lvl>
    <w:lvl w:ilvl="6" w:tplc="040E0001" w:tentative="1">
      <w:start w:val="1"/>
      <w:numFmt w:val="bullet"/>
      <w:lvlText w:val=""/>
      <w:lvlJc w:val="left"/>
      <w:pPr>
        <w:ind w:left="5596" w:hanging="360"/>
      </w:pPr>
      <w:rPr>
        <w:rFonts w:ascii="Symbol" w:hAnsi="Symbol" w:hint="default"/>
      </w:rPr>
    </w:lvl>
    <w:lvl w:ilvl="7" w:tplc="040E0003" w:tentative="1">
      <w:start w:val="1"/>
      <w:numFmt w:val="bullet"/>
      <w:lvlText w:val="o"/>
      <w:lvlJc w:val="left"/>
      <w:pPr>
        <w:ind w:left="6316" w:hanging="360"/>
      </w:pPr>
      <w:rPr>
        <w:rFonts w:ascii="Courier New" w:hAnsi="Courier New" w:cs="Courier New" w:hint="default"/>
      </w:rPr>
    </w:lvl>
    <w:lvl w:ilvl="8" w:tplc="040E0005" w:tentative="1">
      <w:start w:val="1"/>
      <w:numFmt w:val="bullet"/>
      <w:lvlText w:val=""/>
      <w:lvlJc w:val="left"/>
      <w:pPr>
        <w:ind w:left="7036" w:hanging="360"/>
      </w:pPr>
      <w:rPr>
        <w:rFonts w:ascii="Wingdings" w:hAnsi="Wingdings" w:hint="default"/>
      </w:rPr>
    </w:lvl>
  </w:abstractNum>
  <w:abstractNum w:abstractNumId="7" w15:restartNumberingAfterBreak="0">
    <w:nsid w:val="60100622"/>
    <w:multiLevelType w:val="multilevel"/>
    <w:tmpl w:val="32EE41A8"/>
    <w:lvl w:ilvl="0">
      <w:start w:val="1"/>
      <w:numFmt w:val="decimal"/>
      <w:lvlText w:val="%1."/>
      <w:lvlJc w:val="left"/>
      <w:pPr>
        <w:ind w:left="720" w:hanging="360"/>
      </w:pPr>
      <w:rPr>
        <w:b/>
        <w:bCs/>
      </w:rPr>
    </w:lvl>
    <w:lvl w:ilvl="1">
      <w:start w:val="1"/>
      <w:numFmt w:val="decimal"/>
      <w:isLgl/>
      <w:lvlText w:val="%1.%2."/>
      <w:lvlJc w:val="left"/>
      <w:pPr>
        <w:ind w:left="1080" w:hanging="720"/>
      </w:pPr>
      <w:rPr>
        <w:rFonts w:ascii="Titillium Web" w:hAnsi="Titillium Web" w:hint="default"/>
        <w:b/>
        <w:bCs/>
        <w:sz w:val="24"/>
        <w:szCs w:val="24"/>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0E33E8A"/>
    <w:multiLevelType w:val="multilevel"/>
    <w:tmpl w:val="7FE27C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67F02F7B"/>
    <w:multiLevelType w:val="hybridMultilevel"/>
    <w:tmpl w:val="A928E35E"/>
    <w:lvl w:ilvl="0" w:tplc="040E000F">
      <w:start w:val="1"/>
      <w:numFmt w:val="decimal"/>
      <w:lvlText w:val="%1."/>
      <w:lvlJc w:val="left"/>
      <w:pPr>
        <w:ind w:left="2160" w:hanging="360"/>
      </w:pPr>
    </w:lvl>
    <w:lvl w:ilvl="1" w:tplc="040E0019">
      <w:start w:val="1"/>
      <w:numFmt w:val="lowerLetter"/>
      <w:lvlText w:val="%2."/>
      <w:lvlJc w:val="left"/>
      <w:pPr>
        <w:ind w:left="2880" w:hanging="360"/>
      </w:pPr>
    </w:lvl>
    <w:lvl w:ilvl="2" w:tplc="040E001B">
      <w:start w:val="1"/>
      <w:numFmt w:val="lowerRoman"/>
      <w:lvlText w:val="%3."/>
      <w:lvlJc w:val="right"/>
      <w:pPr>
        <w:ind w:left="3600" w:hanging="180"/>
      </w:pPr>
    </w:lvl>
    <w:lvl w:ilvl="3" w:tplc="040E000F">
      <w:start w:val="1"/>
      <w:numFmt w:val="decimal"/>
      <w:lvlText w:val="%4."/>
      <w:lvlJc w:val="left"/>
      <w:pPr>
        <w:ind w:left="4320" w:hanging="360"/>
      </w:pPr>
    </w:lvl>
    <w:lvl w:ilvl="4" w:tplc="040E0019">
      <w:start w:val="1"/>
      <w:numFmt w:val="lowerLetter"/>
      <w:lvlText w:val="%5."/>
      <w:lvlJc w:val="left"/>
      <w:pPr>
        <w:ind w:left="5040" w:hanging="360"/>
      </w:pPr>
    </w:lvl>
    <w:lvl w:ilvl="5" w:tplc="040E001B">
      <w:start w:val="1"/>
      <w:numFmt w:val="lowerRoman"/>
      <w:lvlText w:val="%6."/>
      <w:lvlJc w:val="right"/>
      <w:pPr>
        <w:ind w:left="5760" w:hanging="180"/>
      </w:pPr>
    </w:lvl>
    <w:lvl w:ilvl="6" w:tplc="040E000F">
      <w:start w:val="1"/>
      <w:numFmt w:val="decimal"/>
      <w:lvlText w:val="%7."/>
      <w:lvlJc w:val="left"/>
      <w:pPr>
        <w:ind w:left="6480" w:hanging="360"/>
      </w:pPr>
    </w:lvl>
    <w:lvl w:ilvl="7" w:tplc="040E0019">
      <w:start w:val="1"/>
      <w:numFmt w:val="lowerLetter"/>
      <w:lvlText w:val="%8."/>
      <w:lvlJc w:val="left"/>
      <w:pPr>
        <w:ind w:left="7200" w:hanging="360"/>
      </w:pPr>
    </w:lvl>
    <w:lvl w:ilvl="8" w:tplc="040E001B">
      <w:start w:val="1"/>
      <w:numFmt w:val="lowerRoman"/>
      <w:lvlText w:val="%9."/>
      <w:lvlJc w:val="right"/>
      <w:pPr>
        <w:ind w:left="7920" w:hanging="180"/>
      </w:pPr>
    </w:lvl>
  </w:abstractNum>
  <w:abstractNum w:abstractNumId="10" w15:restartNumberingAfterBreak="0">
    <w:nsid w:val="69D26C9E"/>
    <w:multiLevelType w:val="multilevel"/>
    <w:tmpl w:val="8FEE0C30"/>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BBF3FFD"/>
    <w:multiLevelType w:val="hybridMultilevel"/>
    <w:tmpl w:val="288C10E8"/>
    <w:lvl w:ilvl="0" w:tplc="5FDE4504">
      <w:start w:val="1"/>
      <w:numFmt w:val="bullet"/>
      <w:lvlText w:val="−"/>
      <w:lvlJc w:val="left"/>
      <w:pPr>
        <w:ind w:left="1480" w:hanging="360"/>
      </w:pPr>
      <w:rPr>
        <w:rFonts w:ascii="Times New Roman" w:hAnsi="Times New Roman" w:cs="Times New Roman" w:hint="default"/>
      </w:rPr>
    </w:lvl>
    <w:lvl w:ilvl="1" w:tplc="040E0003" w:tentative="1">
      <w:start w:val="1"/>
      <w:numFmt w:val="bullet"/>
      <w:lvlText w:val="o"/>
      <w:lvlJc w:val="left"/>
      <w:pPr>
        <w:ind w:left="2200" w:hanging="360"/>
      </w:pPr>
      <w:rPr>
        <w:rFonts w:ascii="Courier New" w:hAnsi="Courier New" w:cs="Courier New" w:hint="default"/>
      </w:rPr>
    </w:lvl>
    <w:lvl w:ilvl="2" w:tplc="040E0005" w:tentative="1">
      <w:start w:val="1"/>
      <w:numFmt w:val="bullet"/>
      <w:lvlText w:val=""/>
      <w:lvlJc w:val="left"/>
      <w:pPr>
        <w:ind w:left="2920" w:hanging="360"/>
      </w:pPr>
      <w:rPr>
        <w:rFonts w:ascii="Wingdings" w:hAnsi="Wingdings" w:hint="default"/>
      </w:rPr>
    </w:lvl>
    <w:lvl w:ilvl="3" w:tplc="040E0001" w:tentative="1">
      <w:start w:val="1"/>
      <w:numFmt w:val="bullet"/>
      <w:lvlText w:val=""/>
      <w:lvlJc w:val="left"/>
      <w:pPr>
        <w:ind w:left="3640" w:hanging="360"/>
      </w:pPr>
      <w:rPr>
        <w:rFonts w:ascii="Symbol" w:hAnsi="Symbol" w:hint="default"/>
      </w:rPr>
    </w:lvl>
    <w:lvl w:ilvl="4" w:tplc="040E0003" w:tentative="1">
      <w:start w:val="1"/>
      <w:numFmt w:val="bullet"/>
      <w:lvlText w:val="o"/>
      <w:lvlJc w:val="left"/>
      <w:pPr>
        <w:ind w:left="4360" w:hanging="360"/>
      </w:pPr>
      <w:rPr>
        <w:rFonts w:ascii="Courier New" w:hAnsi="Courier New" w:cs="Courier New" w:hint="default"/>
      </w:rPr>
    </w:lvl>
    <w:lvl w:ilvl="5" w:tplc="040E0005" w:tentative="1">
      <w:start w:val="1"/>
      <w:numFmt w:val="bullet"/>
      <w:lvlText w:val=""/>
      <w:lvlJc w:val="left"/>
      <w:pPr>
        <w:ind w:left="5080" w:hanging="360"/>
      </w:pPr>
      <w:rPr>
        <w:rFonts w:ascii="Wingdings" w:hAnsi="Wingdings" w:hint="default"/>
      </w:rPr>
    </w:lvl>
    <w:lvl w:ilvl="6" w:tplc="040E0001" w:tentative="1">
      <w:start w:val="1"/>
      <w:numFmt w:val="bullet"/>
      <w:lvlText w:val=""/>
      <w:lvlJc w:val="left"/>
      <w:pPr>
        <w:ind w:left="5800" w:hanging="360"/>
      </w:pPr>
      <w:rPr>
        <w:rFonts w:ascii="Symbol" w:hAnsi="Symbol" w:hint="default"/>
      </w:rPr>
    </w:lvl>
    <w:lvl w:ilvl="7" w:tplc="040E0003" w:tentative="1">
      <w:start w:val="1"/>
      <w:numFmt w:val="bullet"/>
      <w:lvlText w:val="o"/>
      <w:lvlJc w:val="left"/>
      <w:pPr>
        <w:ind w:left="6520" w:hanging="360"/>
      </w:pPr>
      <w:rPr>
        <w:rFonts w:ascii="Courier New" w:hAnsi="Courier New" w:cs="Courier New" w:hint="default"/>
      </w:rPr>
    </w:lvl>
    <w:lvl w:ilvl="8" w:tplc="040E0005" w:tentative="1">
      <w:start w:val="1"/>
      <w:numFmt w:val="bullet"/>
      <w:lvlText w:val=""/>
      <w:lvlJc w:val="left"/>
      <w:pPr>
        <w:ind w:left="7240" w:hanging="360"/>
      </w:pPr>
      <w:rPr>
        <w:rFonts w:ascii="Wingdings" w:hAnsi="Wingdings" w:hint="default"/>
      </w:rPr>
    </w:lvl>
  </w:abstractNum>
  <w:abstractNum w:abstractNumId="12" w15:restartNumberingAfterBreak="0">
    <w:nsid w:val="7B067489"/>
    <w:multiLevelType w:val="multilevel"/>
    <w:tmpl w:val="D65E59D8"/>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D545F49"/>
    <w:multiLevelType w:val="hybridMultilevel"/>
    <w:tmpl w:val="9EFCC7C4"/>
    <w:lvl w:ilvl="0" w:tplc="5FDE4504">
      <w:start w:val="1"/>
      <w:numFmt w:val="bullet"/>
      <w:lvlText w:val="−"/>
      <w:lvlJc w:val="left"/>
      <w:pPr>
        <w:ind w:left="720" w:hanging="360"/>
      </w:pPr>
      <w:rPr>
        <w:rFonts w:ascii="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7374384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80371752">
    <w:abstractNumId w:val="1"/>
  </w:num>
  <w:num w:numId="3" w16cid:durableId="135100710">
    <w:abstractNumId w:val="12"/>
  </w:num>
  <w:num w:numId="4" w16cid:durableId="1896627125">
    <w:abstractNumId w:val="8"/>
  </w:num>
  <w:num w:numId="5" w16cid:durableId="457916478">
    <w:abstractNumId w:val="4"/>
  </w:num>
  <w:num w:numId="6" w16cid:durableId="1627352211">
    <w:abstractNumId w:val="9"/>
  </w:num>
  <w:num w:numId="7" w16cid:durableId="1645545738">
    <w:abstractNumId w:val="13"/>
  </w:num>
  <w:num w:numId="8" w16cid:durableId="1521775582">
    <w:abstractNumId w:val="3"/>
  </w:num>
  <w:num w:numId="9" w16cid:durableId="139614009">
    <w:abstractNumId w:val="0"/>
  </w:num>
  <w:num w:numId="10" w16cid:durableId="383211938">
    <w:abstractNumId w:val="6"/>
  </w:num>
  <w:num w:numId="11" w16cid:durableId="2018651745">
    <w:abstractNumId w:val="11"/>
  </w:num>
  <w:num w:numId="12" w16cid:durableId="2047169670">
    <w:abstractNumId w:val="7"/>
  </w:num>
  <w:num w:numId="13" w16cid:durableId="2060277603">
    <w:abstractNumId w:val="2"/>
  </w:num>
  <w:num w:numId="14" w16cid:durableId="1296565820">
    <w:abstractNumId w:val="5"/>
  </w:num>
  <w:num w:numId="15" w16cid:durableId="9924153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BA2"/>
    <w:rsid w:val="00017CED"/>
    <w:rsid w:val="00093907"/>
    <w:rsid w:val="000A552F"/>
    <w:rsid w:val="000C0FA4"/>
    <w:rsid w:val="000D0D47"/>
    <w:rsid w:val="000D71B9"/>
    <w:rsid w:val="00197680"/>
    <w:rsid w:val="001A278C"/>
    <w:rsid w:val="00214305"/>
    <w:rsid w:val="002636EE"/>
    <w:rsid w:val="002814C1"/>
    <w:rsid w:val="002A538B"/>
    <w:rsid w:val="002B29CC"/>
    <w:rsid w:val="002E23EA"/>
    <w:rsid w:val="00383175"/>
    <w:rsid w:val="00386F29"/>
    <w:rsid w:val="0039587D"/>
    <w:rsid w:val="00404D7E"/>
    <w:rsid w:val="00416991"/>
    <w:rsid w:val="00472FD2"/>
    <w:rsid w:val="004D3CED"/>
    <w:rsid w:val="00565BB3"/>
    <w:rsid w:val="005B6536"/>
    <w:rsid w:val="005D54B5"/>
    <w:rsid w:val="00606BCC"/>
    <w:rsid w:val="006535FA"/>
    <w:rsid w:val="00654C4F"/>
    <w:rsid w:val="006C632F"/>
    <w:rsid w:val="006D761E"/>
    <w:rsid w:val="007C0090"/>
    <w:rsid w:val="007C38E5"/>
    <w:rsid w:val="007C745A"/>
    <w:rsid w:val="007E15B4"/>
    <w:rsid w:val="008D376A"/>
    <w:rsid w:val="0093054B"/>
    <w:rsid w:val="00934173"/>
    <w:rsid w:val="00942B91"/>
    <w:rsid w:val="009476F0"/>
    <w:rsid w:val="00990248"/>
    <w:rsid w:val="009B1DB4"/>
    <w:rsid w:val="009E2626"/>
    <w:rsid w:val="009F59EE"/>
    <w:rsid w:val="00A06FB9"/>
    <w:rsid w:val="00A46F53"/>
    <w:rsid w:val="00B70B35"/>
    <w:rsid w:val="00C723DF"/>
    <w:rsid w:val="00CA167F"/>
    <w:rsid w:val="00D801F4"/>
    <w:rsid w:val="00E42217"/>
    <w:rsid w:val="00E7583D"/>
    <w:rsid w:val="00E87F5B"/>
    <w:rsid w:val="00F01CCC"/>
    <w:rsid w:val="00FB1F4B"/>
    <w:rsid w:val="00FC2DDF"/>
    <w:rsid w:val="00FE7BA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A40B9"/>
  <w15:chartTrackingRefBased/>
  <w15:docId w15:val="{8FF31C8D-EBE3-4CD7-A22F-36EA13888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FE7B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FE7B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FE7BA2"/>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FE7BA2"/>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FE7BA2"/>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FE7BA2"/>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FE7BA2"/>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FE7BA2"/>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FE7BA2"/>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FE7BA2"/>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FE7BA2"/>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FE7BA2"/>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FE7BA2"/>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FE7BA2"/>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FE7BA2"/>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FE7BA2"/>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FE7BA2"/>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FE7BA2"/>
    <w:rPr>
      <w:rFonts w:eastAsiaTheme="majorEastAsia" w:cstheme="majorBidi"/>
      <w:color w:val="272727" w:themeColor="text1" w:themeTint="D8"/>
    </w:rPr>
  </w:style>
  <w:style w:type="paragraph" w:styleId="Cm">
    <w:name w:val="Title"/>
    <w:basedOn w:val="Norml"/>
    <w:next w:val="Norml"/>
    <w:link w:val="CmChar"/>
    <w:uiPriority w:val="10"/>
    <w:qFormat/>
    <w:rsid w:val="00FE7B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FE7BA2"/>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FE7BA2"/>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FE7BA2"/>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FE7BA2"/>
    <w:pPr>
      <w:spacing w:before="160"/>
      <w:jc w:val="center"/>
    </w:pPr>
    <w:rPr>
      <w:i/>
      <w:iCs/>
      <w:color w:val="404040" w:themeColor="text1" w:themeTint="BF"/>
    </w:rPr>
  </w:style>
  <w:style w:type="character" w:customStyle="1" w:styleId="IdzetChar">
    <w:name w:val="Idézet Char"/>
    <w:basedOn w:val="Bekezdsalapbettpusa"/>
    <w:link w:val="Idzet"/>
    <w:uiPriority w:val="29"/>
    <w:rsid w:val="00FE7BA2"/>
    <w:rPr>
      <w:i/>
      <w:iCs/>
      <w:color w:val="404040" w:themeColor="text1" w:themeTint="BF"/>
    </w:rPr>
  </w:style>
  <w:style w:type="paragraph" w:styleId="Listaszerbekezds">
    <w:name w:val="List Paragraph"/>
    <w:basedOn w:val="Norml"/>
    <w:uiPriority w:val="34"/>
    <w:qFormat/>
    <w:rsid w:val="00FE7BA2"/>
    <w:pPr>
      <w:ind w:left="720"/>
      <w:contextualSpacing/>
    </w:pPr>
  </w:style>
  <w:style w:type="character" w:styleId="Erskiemels">
    <w:name w:val="Intense Emphasis"/>
    <w:basedOn w:val="Bekezdsalapbettpusa"/>
    <w:uiPriority w:val="21"/>
    <w:qFormat/>
    <w:rsid w:val="00FE7BA2"/>
    <w:rPr>
      <w:i/>
      <w:iCs/>
      <w:color w:val="0F4761" w:themeColor="accent1" w:themeShade="BF"/>
    </w:rPr>
  </w:style>
  <w:style w:type="paragraph" w:styleId="Kiemeltidzet">
    <w:name w:val="Intense Quote"/>
    <w:basedOn w:val="Norml"/>
    <w:next w:val="Norml"/>
    <w:link w:val="KiemeltidzetChar"/>
    <w:uiPriority w:val="30"/>
    <w:qFormat/>
    <w:rsid w:val="00FE7B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FE7BA2"/>
    <w:rPr>
      <w:i/>
      <w:iCs/>
      <w:color w:val="0F4761" w:themeColor="accent1" w:themeShade="BF"/>
    </w:rPr>
  </w:style>
  <w:style w:type="character" w:styleId="Ershivatkozs">
    <w:name w:val="Intense Reference"/>
    <w:basedOn w:val="Bekezdsalapbettpusa"/>
    <w:uiPriority w:val="32"/>
    <w:qFormat/>
    <w:rsid w:val="00FE7BA2"/>
    <w:rPr>
      <w:b/>
      <w:bCs/>
      <w:smallCaps/>
      <w:color w:val="0F4761" w:themeColor="accent1" w:themeShade="BF"/>
      <w:spacing w:val="5"/>
    </w:rPr>
  </w:style>
  <w:style w:type="paragraph" w:styleId="NormlWeb">
    <w:name w:val="Normal (Web)"/>
    <w:basedOn w:val="Norml"/>
    <w:uiPriority w:val="99"/>
    <w:unhideWhenUsed/>
    <w:rsid w:val="00FE7BA2"/>
    <w:pPr>
      <w:spacing w:before="100" w:beforeAutospacing="1" w:after="100" w:afterAutospacing="1" w:line="240" w:lineRule="auto"/>
    </w:pPr>
    <w:rPr>
      <w:rFonts w:ascii="Times New Roman" w:eastAsia="Times New Roman" w:hAnsi="Times New Roman" w:cs="Times New Roman"/>
      <w:kern w:val="0"/>
      <w:lang w:eastAsia="hu-HU"/>
      <w14:ligatures w14:val="none"/>
    </w:rPr>
  </w:style>
  <w:style w:type="character" w:styleId="Kiemels2">
    <w:name w:val="Strong"/>
    <w:basedOn w:val="Bekezdsalapbettpusa"/>
    <w:uiPriority w:val="22"/>
    <w:qFormat/>
    <w:rsid w:val="00FE7BA2"/>
    <w:rPr>
      <w:b/>
      <w:bCs/>
    </w:rPr>
  </w:style>
  <w:style w:type="character" w:styleId="Hiperhivatkozs">
    <w:name w:val="Hyperlink"/>
    <w:basedOn w:val="Bekezdsalapbettpusa"/>
    <w:uiPriority w:val="99"/>
    <w:unhideWhenUsed/>
    <w:rsid w:val="00FE7BA2"/>
    <w:rPr>
      <w:color w:val="467886"/>
      <w:u w:val="single"/>
    </w:rPr>
  </w:style>
  <w:style w:type="character" w:styleId="Feloldatlanmegemlts">
    <w:name w:val="Unresolved Mention"/>
    <w:basedOn w:val="Bekezdsalapbettpusa"/>
    <w:uiPriority w:val="99"/>
    <w:semiHidden/>
    <w:unhideWhenUsed/>
    <w:rsid w:val="00565BB3"/>
    <w:rPr>
      <w:color w:val="605E5C"/>
      <w:shd w:val="clear" w:color="auto" w:fill="E1DFDD"/>
    </w:rPr>
  </w:style>
  <w:style w:type="paragraph" w:styleId="lfej">
    <w:name w:val="header"/>
    <w:basedOn w:val="Norml"/>
    <w:link w:val="lfejChar"/>
    <w:uiPriority w:val="99"/>
    <w:unhideWhenUsed/>
    <w:rsid w:val="005B6536"/>
    <w:pPr>
      <w:tabs>
        <w:tab w:val="center" w:pos="4536"/>
        <w:tab w:val="right" w:pos="9072"/>
      </w:tabs>
      <w:spacing w:after="0" w:line="240" w:lineRule="auto"/>
    </w:pPr>
  </w:style>
  <w:style w:type="character" w:customStyle="1" w:styleId="lfejChar">
    <w:name w:val="Élőfej Char"/>
    <w:basedOn w:val="Bekezdsalapbettpusa"/>
    <w:link w:val="lfej"/>
    <w:uiPriority w:val="99"/>
    <w:rsid w:val="005B6536"/>
  </w:style>
  <w:style w:type="paragraph" w:styleId="llb">
    <w:name w:val="footer"/>
    <w:basedOn w:val="Norml"/>
    <w:link w:val="llbChar"/>
    <w:uiPriority w:val="99"/>
    <w:unhideWhenUsed/>
    <w:rsid w:val="005B6536"/>
    <w:pPr>
      <w:tabs>
        <w:tab w:val="center" w:pos="4536"/>
        <w:tab w:val="right" w:pos="9072"/>
      </w:tabs>
      <w:spacing w:after="0" w:line="240" w:lineRule="auto"/>
    </w:pPr>
  </w:style>
  <w:style w:type="character" w:customStyle="1" w:styleId="llbChar">
    <w:name w:val="Élőláb Char"/>
    <w:basedOn w:val="Bekezdsalapbettpusa"/>
    <w:link w:val="llb"/>
    <w:uiPriority w:val="99"/>
    <w:rsid w:val="005B65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hp-20.asp.lgov.hu/nyitola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hp-20.asp.lgov.hu/nyitolap"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erencvaros.hu/" TargetMode="External"/><Relationship Id="rId5" Type="http://schemas.openxmlformats.org/officeDocument/2006/relationships/footnotes" Target="footnotes.xml"/><Relationship Id="rId10" Type="http://schemas.openxmlformats.org/officeDocument/2006/relationships/hyperlink" Target="https://ohp-20.asp.lgov.hu/nyitolap" TargetMode="External"/><Relationship Id="rId4" Type="http://schemas.openxmlformats.org/officeDocument/2006/relationships/webSettings" Target="webSettings.xml"/><Relationship Id="rId9" Type="http://schemas.openxmlformats.org/officeDocument/2006/relationships/hyperlink" Target="https://www.ferencvaros.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96</TotalTime>
  <Pages>5</Pages>
  <Words>1059</Words>
  <Characters>7311</Characters>
  <Application>Microsoft Office Word</Application>
  <DocSecurity>0</DocSecurity>
  <Lines>60</Lines>
  <Paragraphs>16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Sali-Kiss Krisztina</dc:creator>
  <cp:keywords/>
  <dc:description/>
  <cp:lastModifiedBy>Egervári Éva, dr.</cp:lastModifiedBy>
  <cp:revision>12</cp:revision>
  <cp:lastPrinted>2026-07-27T10:27:00Z</cp:lastPrinted>
  <dcterms:created xsi:type="dcterms:W3CDTF">2026-07-27T09:04:00Z</dcterms:created>
  <dcterms:modified xsi:type="dcterms:W3CDTF">2026-10-20T13:00:00Z</dcterms:modified>
</cp:coreProperties>
</file>