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DE2BD" w14:textId="77777777" w:rsidR="0072280E" w:rsidRPr="0072280E" w:rsidRDefault="0072280E" w:rsidP="0072280E">
      <w:pPr>
        <w:spacing w:after="120"/>
        <w:rPr>
          <w:rFonts w:ascii="Titillium Web" w:hAnsi="Titillium Web" w:cs="Times New Roman"/>
          <w:b/>
          <w:bCs/>
          <w:sz w:val="24"/>
          <w:szCs w:val="24"/>
        </w:rPr>
      </w:pPr>
      <w:r w:rsidRPr="0072280E">
        <w:rPr>
          <w:rFonts w:ascii="Titillium Web" w:hAnsi="Titillium Web" w:cs="Times New Roman"/>
          <w:b/>
          <w:bCs/>
          <w:sz w:val="24"/>
          <w:szCs w:val="24"/>
        </w:rPr>
        <w:t>TÁJÉKOZTATÓ A GÉPJÁRMŰ</w:t>
      </w:r>
      <w:r w:rsidRPr="0072280E">
        <w:rPr>
          <w:rFonts w:ascii="Titillium Web" w:hAnsi="Titillium Web" w:cs="Times New Roman"/>
          <w:sz w:val="24"/>
          <w:szCs w:val="24"/>
        </w:rPr>
        <w:t xml:space="preserve"> </w:t>
      </w:r>
      <w:r w:rsidRPr="0072280E">
        <w:rPr>
          <w:rFonts w:ascii="Titillium Web" w:hAnsi="Titillium Web" w:cs="Times New Roman"/>
          <w:b/>
          <w:bCs/>
          <w:sz w:val="24"/>
          <w:szCs w:val="24"/>
        </w:rPr>
        <w:t>ELSZÁLLÍTÁSA ELŐTTI ELJÁRÁSRÓL</w:t>
      </w:r>
    </w:p>
    <w:p w14:paraId="177049E0" w14:textId="77777777" w:rsidR="0072280E" w:rsidRDefault="0072280E" w:rsidP="0072280E">
      <w:pPr>
        <w:pStyle w:val="Listaszerbekezds"/>
        <w:numPr>
          <w:ilvl w:val="0"/>
          <w:numId w:val="1"/>
        </w:numPr>
        <w:spacing w:before="120" w:after="120" w:line="278" w:lineRule="auto"/>
        <w:ind w:left="426"/>
        <w:contextualSpacing w:val="0"/>
        <w:jc w:val="both"/>
        <w:rPr>
          <w:rFonts w:ascii="Titillium Web" w:eastAsia="Times New Roman" w:hAnsi="Titillium Web" w:cs="Times New Roman"/>
          <w:sz w:val="24"/>
          <w:szCs w:val="24"/>
        </w:rPr>
      </w:pPr>
      <w:r w:rsidRPr="0072280E">
        <w:rPr>
          <w:rFonts w:ascii="Titillium Web" w:eastAsia="Times New Roman" w:hAnsi="Titillium Web" w:cs="Times New Roman"/>
          <w:sz w:val="24"/>
          <w:szCs w:val="24"/>
        </w:rPr>
        <w:t>A Közterület-felügyeleti Iroda jogszabályban meghatározott esetben elszállítással eltávolíthatja a</w:t>
      </w:r>
      <w:r w:rsidRPr="0072280E">
        <w:rPr>
          <w:rFonts w:ascii="Titillium Web" w:hAnsi="Titillium Web" w:cs="Times New Roman"/>
          <w:sz w:val="24"/>
          <w:szCs w:val="24"/>
        </w:rPr>
        <w:t xml:space="preserve"> IX. kerületben a közterületen szabálytalanul elhelyezett azon járművet, amely a közúti forgalom biztonságát, vagy a közbiztonságot veszélyezteti; továbbá a közúti közlekedés szabályairól szóló 1/1975. (II. 5.) KPM-BM együttes rendelet 59. § (1) bekezdésében meghatározott </w:t>
      </w:r>
      <w:r w:rsidRPr="0072280E">
        <w:rPr>
          <w:rFonts w:ascii="Titillium Web" w:eastAsia="Times New Roman" w:hAnsi="Titillium Web" w:cs="Times New Roman"/>
          <w:sz w:val="24"/>
          <w:szCs w:val="24"/>
        </w:rPr>
        <w:t xml:space="preserve">járművet (meghatározott megállási, várakozási szabályok megsértése esetén). </w:t>
      </w:r>
    </w:p>
    <w:p w14:paraId="49CEC85A" w14:textId="77777777" w:rsidR="0072280E" w:rsidRPr="0072280E" w:rsidRDefault="0072280E" w:rsidP="0072280E">
      <w:pPr>
        <w:pStyle w:val="Listaszerbekezds"/>
        <w:numPr>
          <w:ilvl w:val="0"/>
          <w:numId w:val="1"/>
        </w:numPr>
        <w:spacing w:before="120" w:after="120" w:line="278" w:lineRule="auto"/>
        <w:ind w:left="425" w:hanging="357"/>
        <w:contextualSpacing w:val="0"/>
        <w:jc w:val="both"/>
        <w:rPr>
          <w:rFonts w:ascii="Titillium Web" w:hAnsi="Titillium Web" w:cs="Times New Roman"/>
          <w:sz w:val="24"/>
          <w:szCs w:val="24"/>
        </w:rPr>
      </w:pPr>
      <w:r w:rsidRPr="0072280E">
        <w:rPr>
          <w:rFonts w:ascii="Titillium Web" w:hAnsi="Titillium Web" w:cs="Times New Roman"/>
          <w:sz w:val="24"/>
          <w:szCs w:val="24"/>
        </w:rPr>
        <w:t xml:space="preserve">Az elszállítási intézkedés előtt a közterület-felügyelő </w:t>
      </w:r>
      <w:r w:rsidRPr="0072280E">
        <w:rPr>
          <w:rFonts w:ascii="Titillium Web" w:hAnsi="Titillium Web"/>
          <w:sz w:val="24"/>
          <w:szCs w:val="24"/>
        </w:rPr>
        <w:t>megállapítja a szabálysértést</w:t>
      </w:r>
      <w:r w:rsidRPr="0072280E">
        <w:rPr>
          <w:rFonts w:ascii="Titillium Web" w:hAnsi="Titillium Web" w:cs="Times New Roman"/>
          <w:color w:val="000000"/>
          <w:sz w:val="24"/>
          <w:szCs w:val="24"/>
        </w:rPr>
        <w:t>, és a gépjármű állapotáról, esetleges sérüléseiről kép- vagy videófelvételt készít</w:t>
      </w:r>
      <w:r w:rsidRPr="0072280E">
        <w:rPr>
          <w:rFonts w:ascii="Titillium Web" w:hAnsi="Titillium Web" w:cs="Times New Roman"/>
          <w:sz w:val="24"/>
          <w:szCs w:val="24"/>
        </w:rPr>
        <w:t xml:space="preserve">, majd lekéri a gépjármű adatait a diszpécsertől. A diszpécser ellenőrzi, hogy a közúti közlekedési nyilvántartásról szóló törvény alapján vezetett nyilvántartás tartalmazza-e az üzembentartó rövid szöveges üzenet fogadására szolgáló elérhetőségét, telefonszámát. Amennyiben tartalmazza, a diszpécser megkísérli felvenni a kapcsolatot az üzembentartóval és tájékoztatja, hogy </w:t>
      </w:r>
      <w:r w:rsidRPr="0072280E">
        <w:rPr>
          <w:rFonts w:ascii="Titillium Web" w:hAnsi="Titillium Web"/>
          <w:sz w:val="24"/>
          <w:szCs w:val="24"/>
        </w:rPr>
        <w:t>szabálysértést</w:t>
      </w:r>
      <w:r w:rsidRPr="0072280E">
        <w:rPr>
          <w:rFonts w:ascii="Titillium Web" w:hAnsi="Titillium Web" w:cs="Times New Roman"/>
          <w:sz w:val="24"/>
          <w:szCs w:val="24"/>
        </w:rPr>
        <w:t xml:space="preserve"> követett el és amennyiben az értesítéstől számított </w:t>
      </w:r>
      <w:r w:rsidRPr="0072280E">
        <w:rPr>
          <w:rFonts w:ascii="Titillium Web" w:hAnsi="Titillium Web" w:cs="Times New Roman"/>
          <w:b/>
          <w:bCs/>
          <w:sz w:val="24"/>
          <w:szCs w:val="24"/>
        </w:rPr>
        <w:t>15 percen belül a helyszínre érkezik</w:t>
      </w:r>
      <w:r w:rsidRPr="0072280E">
        <w:rPr>
          <w:rFonts w:ascii="Titillium Web" w:hAnsi="Titillium Web" w:cs="Times New Roman"/>
          <w:sz w:val="24"/>
          <w:szCs w:val="24"/>
        </w:rPr>
        <w:t xml:space="preserve"> és a </w:t>
      </w:r>
      <w:r w:rsidRPr="0072280E">
        <w:rPr>
          <w:rFonts w:ascii="Titillium Web" w:hAnsi="Titillium Web"/>
          <w:sz w:val="24"/>
          <w:szCs w:val="24"/>
        </w:rPr>
        <w:t>szabálysértést megszünteti</w:t>
      </w:r>
      <w:r w:rsidRPr="0072280E">
        <w:rPr>
          <w:rFonts w:ascii="Titillium Web" w:hAnsi="Titillium Web" w:cs="Times New Roman"/>
          <w:sz w:val="24"/>
          <w:szCs w:val="24"/>
        </w:rPr>
        <w:t xml:space="preserve">, a felügyelő a gépjármű elszállítását nem rendeli el. </w:t>
      </w:r>
      <w:r w:rsidRPr="0072280E">
        <w:rPr>
          <w:rFonts w:ascii="Titillium Web" w:hAnsi="Titillium Web" w:cs="Times New Roman"/>
          <w:color w:val="000000"/>
          <w:sz w:val="24"/>
          <w:szCs w:val="24"/>
        </w:rPr>
        <w:t xml:space="preserve">Amennyiben nincs elérhetőség megadva, vagy a kapcsolatfelvétel az üzembentartóval sikertelen, vagy a </w:t>
      </w:r>
      <w:r w:rsidRPr="0072280E">
        <w:rPr>
          <w:rFonts w:ascii="Titillium Web" w:hAnsi="Titillium Web" w:cs="Times New Roman"/>
          <w:sz w:val="24"/>
          <w:szCs w:val="24"/>
        </w:rPr>
        <w:t>15 perc eredménytelenül telik el, a közterület-felügyelő folytatja az intézkedést.</w:t>
      </w:r>
    </w:p>
    <w:p w14:paraId="1CE90475" w14:textId="77777777" w:rsidR="0072280E" w:rsidRPr="0072280E" w:rsidRDefault="0072280E" w:rsidP="0072280E">
      <w:pPr>
        <w:pStyle w:val="lfej"/>
        <w:numPr>
          <w:ilvl w:val="0"/>
          <w:numId w:val="1"/>
        </w:numPr>
        <w:tabs>
          <w:tab w:val="clear" w:pos="4536"/>
          <w:tab w:val="clear" w:pos="9072"/>
        </w:tabs>
        <w:spacing w:before="120" w:after="120" w:line="278" w:lineRule="auto"/>
        <w:ind w:left="426"/>
        <w:jc w:val="both"/>
        <w:rPr>
          <w:rFonts w:ascii="Titillium Web" w:hAnsi="Titillium Web" w:cs="Times New Roman"/>
          <w:sz w:val="24"/>
          <w:szCs w:val="24"/>
        </w:rPr>
      </w:pPr>
      <w:r w:rsidRPr="0072280E">
        <w:rPr>
          <w:rFonts w:ascii="Titillium Web" w:hAnsi="Titillium Web" w:cs="Times New Roman"/>
          <w:sz w:val="24"/>
          <w:szCs w:val="24"/>
        </w:rPr>
        <w:t xml:space="preserve">Az intézkedés a járműszállítás előkészületével (a kerékmegfogó vasak/hevederek kihelyezésével, az emelő hevederek gépjárművön történő rögzítésével) kezdődik. Amennyiben a jármű szállításának előkészületét már megkezdték, azonban a jármű üzembentartója eközben a járműhöz visszaérkezik, és kéri a szállítás </w:t>
      </w:r>
      <w:r w:rsidRPr="0072280E">
        <w:rPr>
          <w:rFonts w:ascii="Titillium Web" w:hAnsi="Titillium Web"/>
          <w:sz w:val="24"/>
          <w:szCs w:val="24"/>
        </w:rPr>
        <w:t>meg</w:t>
      </w:r>
      <w:r w:rsidRPr="0072280E">
        <w:rPr>
          <w:rFonts w:ascii="Titillium Web" w:hAnsi="Titillium Web" w:cs="Times New Roman"/>
          <w:sz w:val="24"/>
          <w:szCs w:val="24"/>
        </w:rPr>
        <w:t>szakítását</w:t>
      </w:r>
      <w:r w:rsidRPr="0072280E">
        <w:rPr>
          <w:rFonts w:ascii="Titillium Web" w:hAnsi="Titillium Web"/>
          <w:sz w:val="24"/>
          <w:szCs w:val="24"/>
        </w:rPr>
        <w:t xml:space="preserve">, </w:t>
      </w:r>
      <w:r w:rsidRPr="0072280E">
        <w:rPr>
          <w:rFonts w:ascii="Titillium Web" w:hAnsi="Titillium Web" w:cs="Times New Roman"/>
          <w:sz w:val="24"/>
          <w:szCs w:val="24"/>
        </w:rPr>
        <w:t>továbbá a szabály</w:t>
      </w:r>
      <w:r w:rsidRPr="0072280E">
        <w:rPr>
          <w:rFonts w:ascii="Titillium Web" w:hAnsi="Titillium Web"/>
          <w:sz w:val="24"/>
          <w:szCs w:val="24"/>
        </w:rPr>
        <w:t>sértést</w:t>
      </w:r>
      <w:r w:rsidRPr="0072280E">
        <w:rPr>
          <w:rFonts w:ascii="Titillium Web" w:hAnsi="Titillium Web" w:cs="Times New Roman"/>
          <w:sz w:val="24"/>
          <w:szCs w:val="24"/>
        </w:rPr>
        <w:t xml:space="preserve"> megszünteti, és a szállításnak a csökkentett költségét (50 %) a helyszínen megtéríti, akkor az intézkedést meg kell szakítani, és a csökkentett költség megfizetéséről elismervényt kell kiállítani.</w:t>
      </w:r>
      <w:r w:rsidRPr="0072280E">
        <w:rPr>
          <w:rFonts w:ascii="Titillium Web" w:hAnsi="Titillium Web" w:cs="Times New Roman"/>
          <w:color w:val="FF0000"/>
          <w:sz w:val="24"/>
          <w:szCs w:val="24"/>
        </w:rPr>
        <w:t xml:space="preserve"> </w:t>
      </w:r>
      <w:r w:rsidRPr="0072280E">
        <w:rPr>
          <w:rFonts w:ascii="Titillium Web" w:hAnsi="Titillium Web" w:cs="Times New Roman"/>
          <w:sz w:val="24"/>
          <w:szCs w:val="24"/>
        </w:rPr>
        <w:t xml:space="preserve">Amennyiben </w:t>
      </w:r>
      <w:r w:rsidRPr="0072280E">
        <w:rPr>
          <w:rFonts w:ascii="Titillium Web" w:hAnsi="Titillium Web"/>
          <w:sz w:val="24"/>
          <w:szCs w:val="24"/>
        </w:rPr>
        <w:t xml:space="preserve">a </w:t>
      </w:r>
      <w:r w:rsidRPr="0072280E">
        <w:rPr>
          <w:rFonts w:ascii="Titillium Web" w:hAnsi="Titillium Web" w:cs="Times New Roman"/>
          <w:sz w:val="24"/>
          <w:szCs w:val="24"/>
        </w:rPr>
        <w:t xml:space="preserve">csökkentett költséget a jármű üzembentartója nem tudja a helyszínen megfizetni, az intézkedést folytatni kell, annak megszakítására nincsen mód. </w:t>
      </w:r>
    </w:p>
    <w:p w14:paraId="29A138CE" w14:textId="77777777" w:rsidR="0072280E" w:rsidRPr="0072280E" w:rsidRDefault="0072280E" w:rsidP="0072280E">
      <w:pPr>
        <w:pStyle w:val="lfej"/>
        <w:numPr>
          <w:ilvl w:val="0"/>
          <w:numId w:val="1"/>
        </w:numPr>
        <w:tabs>
          <w:tab w:val="clear" w:pos="4536"/>
          <w:tab w:val="clear" w:pos="9072"/>
        </w:tabs>
        <w:spacing w:before="120" w:after="120" w:line="278" w:lineRule="auto"/>
        <w:ind w:left="426"/>
        <w:jc w:val="both"/>
        <w:rPr>
          <w:rFonts w:ascii="Titillium Web" w:hAnsi="Titillium Web" w:cs="Times New Roman"/>
          <w:sz w:val="24"/>
          <w:szCs w:val="24"/>
        </w:rPr>
      </w:pPr>
      <w:r w:rsidRPr="0072280E">
        <w:rPr>
          <w:rFonts w:ascii="Titillium Web" w:hAnsi="Titillium Web" w:cs="Times New Roman"/>
          <w:sz w:val="24"/>
          <w:szCs w:val="24"/>
        </w:rPr>
        <w:t xml:space="preserve">Az intézkedés befejezett, amennyiben a gépjárművet az elszállító gépjárműre ráhelyezték és a felügyelő az intézkedést az erről szóló elektronikusan készült jegyzőkönyv kinyomtatásával lezárta. Ezt követően a gépjármű nem engedhető vissza, a gépjárművet a tárolóhelyre kell szállítani. </w:t>
      </w:r>
      <w:r w:rsidRPr="0072280E">
        <w:rPr>
          <w:rFonts w:ascii="Titillium Web" w:hAnsi="Titillium Web" w:cs="Times New Roman"/>
          <w:color w:val="000000"/>
          <w:sz w:val="24"/>
          <w:szCs w:val="24"/>
        </w:rPr>
        <w:t xml:space="preserve">Az intézkedés befejezését és a szállító </w:t>
      </w:r>
      <w:r w:rsidRPr="0072280E">
        <w:rPr>
          <w:rFonts w:ascii="Titillium Web" w:hAnsi="Titillium Web" w:cs="Times New Roman"/>
          <w:color w:val="000000"/>
          <w:sz w:val="24"/>
          <w:szCs w:val="24"/>
        </w:rPr>
        <w:lastRenderedPageBreak/>
        <w:t xml:space="preserve">jármű elindulását követően a helyszínre érkező üzembentartó a járművét a teljes költség (100 % elszállítási költség + 1 napi tárolási díj) megfizetése esetén veheti át a tárolóhelyen. </w:t>
      </w:r>
    </w:p>
    <w:p w14:paraId="290CFC4C" w14:textId="77777777" w:rsidR="0072280E" w:rsidRPr="0072280E" w:rsidRDefault="0072280E" w:rsidP="0072280E">
      <w:pPr>
        <w:pStyle w:val="lfej"/>
        <w:numPr>
          <w:ilvl w:val="0"/>
          <w:numId w:val="1"/>
        </w:numPr>
        <w:tabs>
          <w:tab w:val="clear" w:pos="4536"/>
          <w:tab w:val="clear" w:pos="9072"/>
          <w:tab w:val="left" w:pos="1080"/>
        </w:tabs>
        <w:spacing w:before="120" w:after="120" w:line="278" w:lineRule="auto"/>
        <w:ind w:left="426"/>
        <w:jc w:val="both"/>
        <w:rPr>
          <w:rFonts w:ascii="Titillium Web" w:hAnsi="Titillium Web" w:cs="Times New Roman"/>
          <w:sz w:val="24"/>
          <w:szCs w:val="24"/>
        </w:rPr>
      </w:pPr>
      <w:r w:rsidRPr="0072280E">
        <w:rPr>
          <w:rFonts w:ascii="Titillium Web" w:hAnsi="Titillium Web" w:cs="Times New Roman"/>
          <w:sz w:val="24"/>
          <w:szCs w:val="24"/>
        </w:rPr>
        <w:t xml:space="preserve">Az intézkedés befejezését követően a közterület-felügyelő az elszállított jármű helyére egy </w:t>
      </w:r>
      <w:r w:rsidRPr="0072280E">
        <w:rPr>
          <w:rFonts w:ascii="Titillium Web" w:hAnsi="Titillium Web" w:cs="Times New Roman"/>
          <w:b/>
          <w:bCs/>
          <w:sz w:val="24"/>
          <w:szCs w:val="24"/>
        </w:rPr>
        <w:t>öntapadós tájékoztató matricát</w:t>
      </w:r>
      <w:r w:rsidRPr="0072280E">
        <w:rPr>
          <w:rFonts w:ascii="Titillium Web" w:hAnsi="Titillium Web" w:cs="Times New Roman"/>
          <w:sz w:val="24"/>
          <w:szCs w:val="24"/>
        </w:rPr>
        <w:t xml:space="preserve"> helyez el, kivéve, ha a matrica rögzítése az időjárási és/vagy terepviszonyok miatt nem lehetséges. A szállításról szóló információt az Iroda a szállítás befejezésétől számított </w:t>
      </w:r>
      <w:r w:rsidRPr="0072280E">
        <w:rPr>
          <w:rFonts w:ascii="Titillium Web" w:hAnsi="Titillium Web" w:cs="Times New Roman"/>
          <w:b/>
          <w:bCs/>
          <w:sz w:val="24"/>
          <w:szCs w:val="24"/>
        </w:rPr>
        <w:t xml:space="preserve">30 percen belül közzéteszi az Önkormányzat </w:t>
      </w:r>
      <w:hyperlink r:id="rId5" w:history="1">
        <w:r w:rsidRPr="0072280E">
          <w:rPr>
            <w:rStyle w:val="Hiperhivatkozs"/>
            <w:rFonts w:ascii="Titillium Web" w:hAnsi="Titillium Web" w:cs="Times New Roman"/>
            <w:b/>
            <w:bCs/>
            <w:color w:val="auto"/>
            <w:sz w:val="24"/>
            <w:szCs w:val="24"/>
            <w:u w:val="none"/>
          </w:rPr>
          <w:t>www.ferencvaros.hu</w:t>
        </w:r>
      </w:hyperlink>
      <w:r w:rsidRPr="0072280E">
        <w:rPr>
          <w:rFonts w:ascii="Titillium Web" w:hAnsi="Titillium Web" w:cs="Times New Roman"/>
          <w:b/>
          <w:bCs/>
          <w:sz w:val="24"/>
          <w:szCs w:val="24"/>
        </w:rPr>
        <w:t xml:space="preserve"> honlapján,</w:t>
      </w:r>
      <w:r w:rsidRPr="0072280E">
        <w:rPr>
          <w:rFonts w:ascii="Titillium Web" w:hAnsi="Titillium Web" w:cs="Times New Roman"/>
          <w:sz w:val="24"/>
          <w:szCs w:val="24"/>
        </w:rPr>
        <w:t xml:space="preserve"> továbbá e-mailben értesíti a BRFK IX. Kerületi Rendőrkapitányságot. </w:t>
      </w:r>
    </w:p>
    <w:sectPr w:rsidR="0072280E" w:rsidRPr="007228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 Serif">
    <w:altName w:val="Arial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tillium Web">
    <w:charset w:val="EE"/>
    <w:family w:val="auto"/>
    <w:pitch w:val="variable"/>
    <w:sig w:usb0="00000007" w:usb1="00000001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662B5"/>
    <w:multiLevelType w:val="hybridMultilevel"/>
    <w:tmpl w:val="3AA63F68"/>
    <w:lvl w:ilvl="0" w:tplc="09DC852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275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80E"/>
    <w:rsid w:val="00293746"/>
    <w:rsid w:val="00374EA8"/>
    <w:rsid w:val="00403405"/>
    <w:rsid w:val="0072280E"/>
    <w:rsid w:val="007663C5"/>
    <w:rsid w:val="00A01F22"/>
    <w:rsid w:val="00D23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64B4D"/>
  <w15:chartTrackingRefBased/>
  <w15:docId w15:val="{1C411A71-0F1C-435C-ACA2-D5F4CEBA9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2280E"/>
    <w:pPr>
      <w:spacing w:after="0" w:line="276" w:lineRule="auto"/>
    </w:pPr>
    <w:rPr>
      <w:rFonts w:ascii="Roboto Serif" w:eastAsia="Roboto Serif" w:hAnsi="Roboto Serif" w:cs="Roboto Serif"/>
      <w:kern w:val="0"/>
      <w:sz w:val="22"/>
      <w:szCs w:val="22"/>
      <w:lang w:val="hu"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7228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228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228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228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228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228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228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228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228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228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228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228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2280E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2280E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2280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2280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2280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2280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228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228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228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228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228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2280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2280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2280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228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2280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2280E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nhideWhenUsed/>
    <w:rsid w:val="0072280E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rsid w:val="0072280E"/>
    <w:rPr>
      <w:rFonts w:ascii="Roboto Serif" w:eastAsia="Roboto Serif" w:hAnsi="Roboto Serif" w:cs="Roboto Serif"/>
      <w:kern w:val="0"/>
      <w:sz w:val="22"/>
      <w:szCs w:val="22"/>
      <w:lang w:val="hu" w:eastAsia="hu-HU"/>
      <w14:ligatures w14:val="none"/>
    </w:rPr>
  </w:style>
  <w:style w:type="character" w:styleId="Hiperhivatkozs">
    <w:name w:val="Hyperlink"/>
    <w:basedOn w:val="Bekezdsalapbettpusa"/>
    <w:uiPriority w:val="99"/>
    <w:unhideWhenUsed/>
    <w:rsid w:val="0072280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erencvaros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394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Egervári Éva, dr.</dc:creator>
  <cp:keywords/>
  <dc:description/>
  <cp:lastModifiedBy>Egervári Éva, dr.</cp:lastModifiedBy>
  <cp:revision>2</cp:revision>
  <dcterms:created xsi:type="dcterms:W3CDTF">2026-10-29T14:27:00Z</dcterms:created>
  <dcterms:modified xsi:type="dcterms:W3CDTF">2026-10-30T14:08:00Z</dcterms:modified>
</cp:coreProperties>
</file>